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8A38F" w14:textId="316E5B68" w:rsidR="00F16FE1" w:rsidRDefault="00F16FE1" w:rsidP="00F16FE1">
      <w:pPr>
        <w:jc w:val="center"/>
        <w:rPr>
          <w:rFonts w:ascii="Calibri" w:hAnsi="Calibri" w:cs="Calibri"/>
          <w:b/>
        </w:rPr>
      </w:pPr>
      <w:r>
        <w:rPr>
          <w:rFonts w:ascii="Calibri" w:hAnsi="Calibri" w:cs="Calibri"/>
          <w:b/>
          <w:noProof/>
        </w:rPr>
        <w:drawing>
          <wp:inline distT="0" distB="0" distL="0" distR="0" wp14:anchorId="43355F06" wp14:editId="0B843A13">
            <wp:extent cx="1259305" cy="89845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3-13 at 16.14.4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9618" cy="905810"/>
                    </a:xfrm>
                    <a:prstGeom prst="rect">
                      <a:avLst/>
                    </a:prstGeom>
                  </pic:spPr>
                </pic:pic>
              </a:graphicData>
            </a:graphic>
          </wp:inline>
        </w:drawing>
      </w:r>
    </w:p>
    <w:p w14:paraId="71B57853" w14:textId="77777777" w:rsidR="00F16FE1" w:rsidRDefault="00F16FE1" w:rsidP="00F16FE1">
      <w:pPr>
        <w:jc w:val="center"/>
        <w:rPr>
          <w:rFonts w:ascii="Calibri" w:hAnsi="Calibri" w:cs="Calibri"/>
          <w:b/>
        </w:rPr>
      </w:pPr>
    </w:p>
    <w:p w14:paraId="50984046" w14:textId="6AB4B41B" w:rsidR="003D5427" w:rsidRPr="00623181" w:rsidRDefault="00F400A1" w:rsidP="00F16FE1">
      <w:pPr>
        <w:jc w:val="center"/>
        <w:rPr>
          <w:rFonts w:ascii="Calibri" w:hAnsi="Calibri" w:cs="Calibri"/>
          <w:b/>
          <w:sz w:val="32"/>
          <w:szCs w:val="32"/>
        </w:rPr>
      </w:pPr>
      <w:r w:rsidRPr="00623181">
        <w:rPr>
          <w:rFonts w:ascii="Calibri" w:hAnsi="Calibri" w:cs="Calibri"/>
          <w:b/>
          <w:sz w:val="32"/>
          <w:szCs w:val="32"/>
        </w:rPr>
        <w:t>Data Protection Impact Assessment – Clinic.co</w:t>
      </w:r>
    </w:p>
    <w:p w14:paraId="5CBBC230" w14:textId="3698D04B" w:rsidR="00F400A1" w:rsidRDefault="00F400A1">
      <w:pPr>
        <w:rPr>
          <w:rFonts w:ascii="Calibri" w:hAnsi="Calibri" w:cs="Calibri"/>
          <w:b/>
        </w:rPr>
      </w:pPr>
    </w:p>
    <w:p w14:paraId="7765E7E1" w14:textId="5A2B1C73" w:rsidR="00623181" w:rsidRPr="006E7752" w:rsidRDefault="00623181" w:rsidP="00623181">
      <w:pPr>
        <w:rPr>
          <w:rFonts w:ascii="Calibri" w:hAnsi="Calibri" w:cs="Calibri"/>
          <w:b/>
          <w:bCs/>
          <w:i/>
          <w:iCs/>
          <w:color w:val="000000" w:themeColor="text1"/>
          <w:sz w:val="26"/>
          <w:szCs w:val="26"/>
        </w:rPr>
      </w:pPr>
      <w:r w:rsidRPr="006E7752">
        <w:rPr>
          <w:rFonts w:ascii="Calibri" w:hAnsi="Calibri" w:cs="Calibri"/>
          <w:b/>
          <w:bCs/>
          <w:i/>
          <w:iCs/>
          <w:color w:val="000000" w:themeColor="text1"/>
          <w:sz w:val="26"/>
          <w:szCs w:val="26"/>
        </w:rPr>
        <w:t xml:space="preserve">As the data controller, when using Clinic.co, it is up to </w:t>
      </w:r>
      <w:r w:rsidR="006E7752" w:rsidRPr="006E7752">
        <w:rPr>
          <w:rFonts w:ascii="Calibri" w:hAnsi="Calibri" w:cs="Calibri"/>
          <w:b/>
          <w:bCs/>
          <w:i/>
          <w:iCs/>
          <w:color w:val="000000" w:themeColor="text1"/>
          <w:sz w:val="26"/>
          <w:szCs w:val="26"/>
        </w:rPr>
        <w:t>clinicians and their organisations</w:t>
      </w:r>
      <w:r w:rsidRPr="006E7752">
        <w:rPr>
          <w:rFonts w:ascii="Calibri" w:hAnsi="Calibri" w:cs="Calibri"/>
          <w:b/>
          <w:bCs/>
          <w:i/>
          <w:iCs/>
          <w:color w:val="000000" w:themeColor="text1"/>
          <w:sz w:val="26"/>
          <w:szCs w:val="26"/>
        </w:rPr>
        <w:t xml:space="preserve"> to complete a DPIA</w:t>
      </w:r>
      <w:r w:rsidR="006E7752" w:rsidRPr="006E7752">
        <w:rPr>
          <w:rFonts w:ascii="Calibri" w:hAnsi="Calibri" w:cs="Calibri"/>
          <w:b/>
          <w:bCs/>
          <w:i/>
          <w:iCs/>
          <w:color w:val="000000" w:themeColor="text1"/>
          <w:sz w:val="26"/>
          <w:szCs w:val="26"/>
        </w:rPr>
        <w:t xml:space="preserve">. To support this, </w:t>
      </w:r>
      <w:r w:rsidRPr="006E7752">
        <w:rPr>
          <w:rFonts w:ascii="Calibri" w:hAnsi="Calibri" w:cs="Calibri"/>
          <w:b/>
          <w:bCs/>
          <w:i/>
          <w:iCs/>
          <w:color w:val="000000" w:themeColor="text1"/>
          <w:sz w:val="26"/>
          <w:szCs w:val="26"/>
        </w:rPr>
        <w:t xml:space="preserve">we have put together this document to address key elements of DPIAs for our </w:t>
      </w:r>
      <w:r w:rsidR="006E7752" w:rsidRPr="006E7752">
        <w:rPr>
          <w:rFonts w:ascii="Calibri" w:hAnsi="Calibri" w:cs="Calibri"/>
          <w:b/>
          <w:bCs/>
          <w:i/>
          <w:iCs/>
          <w:color w:val="000000" w:themeColor="text1"/>
          <w:sz w:val="26"/>
          <w:szCs w:val="26"/>
        </w:rPr>
        <w:t>partners</w:t>
      </w:r>
      <w:r w:rsidRPr="006E7752">
        <w:rPr>
          <w:rFonts w:ascii="Calibri" w:hAnsi="Calibri" w:cs="Calibri"/>
          <w:b/>
          <w:bCs/>
          <w:i/>
          <w:iCs/>
          <w:color w:val="000000" w:themeColor="text1"/>
          <w:sz w:val="26"/>
          <w:szCs w:val="26"/>
        </w:rPr>
        <w:t xml:space="preserve">.  </w:t>
      </w:r>
    </w:p>
    <w:p w14:paraId="4AA06854" w14:textId="77777777" w:rsidR="00623181" w:rsidRDefault="00623181">
      <w:pPr>
        <w:rPr>
          <w:rFonts w:ascii="Calibri" w:hAnsi="Calibri" w:cs="Calibri"/>
          <w:bCs/>
        </w:rPr>
      </w:pPr>
    </w:p>
    <w:p w14:paraId="1F7BACD7" w14:textId="3CA2BFAF" w:rsidR="00F16FE1" w:rsidRDefault="009E0F52">
      <w:pPr>
        <w:rPr>
          <w:rFonts w:ascii="Calibri" w:hAnsi="Calibri" w:cs="Calibri"/>
          <w:bCs/>
        </w:rPr>
      </w:pPr>
      <w:r w:rsidRPr="00623181">
        <w:rPr>
          <w:rFonts w:ascii="Calibri" w:hAnsi="Calibri" w:cs="Calibri"/>
          <w:bCs/>
        </w:rPr>
        <w:t xml:space="preserve">At Clinic.co </w:t>
      </w:r>
      <w:r w:rsidR="00502A33" w:rsidRPr="00623181">
        <w:rPr>
          <w:rFonts w:ascii="Calibri" w:hAnsi="Calibri" w:cs="Calibri"/>
          <w:bCs/>
        </w:rPr>
        <w:t>we handle sensitive patient data and take our responsibilities under GDPR very seriously. In this DPIA, we set out how we comply with GDPR to provide clinicians and end users with assurance that your data is safely managed. Overview:</w:t>
      </w:r>
    </w:p>
    <w:p w14:paraId="17F85B46" w14:textId="77777777" w:rsidR="00623181" w:rsidRPr="00623181" w:rsidRDefault="00623181">
      <w:pPr>
        <w:rPr>
          <w:rFonts w:ascii="Calibri" w:hAnsi="Calibri" w:cs="Calibri"/>
          <w:bCs/>
        </w:rPr>
      </w:pPr>
    </w:p>
    <w:p w14:paraId="65161F40" w14:textId="174F7800" w:rsidR="00502A33" w:rsidRPr="00623181" w:rsidRDefault="00502A33" w:rsidP="00502A33">
      <w:pPr>
        <w:pStyle w:val="ListParagraph"/>
        <w:numPr>
          <w:ilvl w:val="0"/>
          <w:numId w:val="10"/>
        </w:numPr>
        <w:rPr>
          <w:rFonts w:ascii="Calibri" w:eastAsia="Times New Roman" w:hAnsi="Calibri" w:cs="Calibri"/>
          <w:color w:val="000000" w:themeColor="text1"/>
          <w:lang w:eastAsia="en-GB"/>
        </w:rPr>
      </w:pPr>
      <w:r w:rsidRPr="00623181">
        <w:rPr>
          <w:rFonts w:ascii="Calibri" w:eastAsia="Times New Roman" w:hAnsi="Calibri" w:cs="Calibri"/>
          <w:b/>
          <w:bCs/>
          <w:color w:val="000000" w:themeColor="text1"/>
          <w:lang w:eastAsia="en-GB"/>
        </w:rPr>
        <w:t>Secure Video Consultation:</w:t>
      </w:r>
      <w:r w:rsidRPr="00623181">
        <w:rPr>
          <w:rFonts w:ascii="Calibri" w:eastAsia="Times New Roman" w:hAnsi="Calibri" w:cs="Calibri"/>
          <w:color w:val="000000" w:themeColor="text1"/>
          <w:lang w:eastAsia="en-GB"/>
        </w:rPr>
        <w:t xml:space="preserve"> Clinic.co is fully secure and compliant with GDPR, ISO27001, ISO9001 and DCB0129. Video and audio communication </w:t>
      </w:r>
      <w:proofErr w:type="gramStart"/>
      <w:r w:rsidRPr="00623181">
        <w:rPr>
          <w:rFonts w:ascii="Calibri" w:eastAsia="Times New Roman" w:hAnsi="Calibri" w:cs="Calibri"/>
          <w:color w:val="000000" w:themeColor="text1"/>
          <w:lang w:eastAsia="en-GB"/>
        </w:rPr>
        <w:t>is</w:t>
      </w:r>
      <w:proofErr w:type="gramEnd"/>
      <w:r w:rsidRPr="00623181">
        <w:rPr>
          <w:rFonts w:ascii="Calibri" w:eastAsia="Times New Roman" w:hAnsi="Calibri" w:cs="Calibri"/>
          <w:color w:val="000000" w:themeColor="text1"/>
          <w:lang w:eastAsia="en-GB"/>
        </w:rPr>
        <w:t xml:space="preserve"> only visible to participants on the call and transmitted over an encrypted connection. It is not recorded or stored on any server unless initiated by the clinician. When recorded, it is safety stored in servers based in the UK. </w:t>
      </w:r>
    </w:p>
    <w:p w14:paraId="6229EF29" w14:textId="77777777" w:rsidR="00502A33" w:rsidRPr="00623181" w:rsidRDefault="00502A33" w:rsidP="00502A33">
      <w:pPr>
        <w:pStyle w:val="font7"/>
        <w:numPr>
          <w:ilvl w:val="0"/>
          <w:numId w:val="10"/>
        </w:numPr>
        <w:spacing w:before="0" w:beforeAutospacing="0" w:after="0" w:afterAutospacing="0"/>
        <w:textAlignment w:val="baseline"/>
        <w:rPr>
          <w:rFonts w:ascii="Calibri" w:hAnsi="Calibri" w:cs="Calibri"/>
          <w:color w:val="000000" w:themeColor="text1"/>
        </w:rPr>
      </w:pPr>
      <w:r w:rsidRPr="00623181">
        <w:rPr>
          <w:rFonts w:ascii="Calibri" w:hAnsi="Calibri" w:cs="Calibri"/>
          <w:b/>
          <w:bCs/>
          <w:color w:val="000000" w:themeColor="text1"/>
          <w:bdr w:val="none" w:sz="0" w:space="0" w:color="auto" w:frame="1"/>
        </w:rPr>
        <w:t>Secure Data Processing</w:t>
      </w:r>
      <w:r w:rsidRPr="00623181">
        <w:rPr>
          <w:rFonts w:ascii="Calibri" w:hAnsi="Calibri" w:cs="Calibri"/>
          <w:color w:val="000000" w:themeColor="text1"/>
        </w:rPr>
        <w:t xml:space="preserve">: </w:t>
      </w:r>
      <w:r w:rsidRPr="00623181">
        <w:rPr>
          <w:rFonts w:ascii="Calibri" w:hAnsi="Calibri" w:cs="Calibri"/>
          <w:color w:val="000000" w:themeColor="text1"/>
          <w:bdr w:val="none" w:sz="0" w:space="0" w:color="auto" w:frame="1"/>
        </w:rPr>
        <w:t xml:space="preserve">We host our servers in the UK (via Amazon Web Servers). We are Cyber Essential compliant and our technology stack and systems are compliant with the NHS Data and Security Information Toolkit. </w:t>
      </w:r>
    </w:p>
    <w:p w14:paraId="1E0F0ADC" w14:textId="77777777" w:rsidR="00502A33" w:rsidRPr="004726FB" w:rsidRDefault="00502A33">
      <w:pPr>
        <w:rPr>
          <w:rFonts w:ascii="Calibri" w:hAnsi="Calibri" w:cs="Calibri"/>
          <w:b/>
        </w:rPr>
      </w:pPr>
    </w:p>
    <w:p w14:paraId="6286FE6E" w14:textId="109CFEEA" w:rsidR="00B934B4" w:rsidRPr="00623181" w:rsidRDefault="00B934B4" w:rsidP="00B934B4">
      <w:pPr>
        <w:rPr>
          <w:rFonts w:ascii="Calibri" w:hAnsi="Calibri" w:cs="Calibri"/>
          <w:bCs/>
        </w:rPr>
      </w:pPr>
      <w:r w:rsidRPr="00623181">
        <w:rPr>
          <w:rFonts w:ascii="Calibri" w:hAnsi="Calibri" w:cs="Calibri"/>
          <w:b/>
        </w:rPr>
        <w:t>1.</w:t>
      </w:r>
      <w:r w:rsidR="00F400A1" w:rsidRPr="00623181">
        <w:rPr>
          <w:rFonts w:ascii="Calibri" w:hAnsi="Calibri" w:cs="Calibri"/>
          <w:b/>
        </w:rPr>
        <w:t>Scope</w:t>
      </w:r>
    </w:p>
    <w:p w14:paraId="71EC1F9C" w14:textId="77777777" w:rsidR="00B934B4" w:rsidRPr="00623181" w:rsidRDefault="00B934B4" w:rsidP="00B934B4">
      <w:pPr>
        <w:rPr>
          <w:rFonts w:ascii="Calibri" w:hAnsi="Calibri" w:cs="Calibri"/>
          <w:bCs/>
        </w:rPr>
      </w:pPr>
    </w:p>
    <w:p w14:paraId="7074334C" w14:textId="7DC8DDF2" w:rsidR="00F400A1" w:rsidRPr="00623181" w:rsidRDefault="00F400A1" w:rsidP="00B934B4">
      <w:pPr>
        <w:rPr>
          <w:rFonts w:ascii="Calibri" w:hAnsi="Calibri" w:cs="Calibri"/>
          <w:bCs/>
        </w:rPr>
      </w:pPr>
      <w:r w:rsidRPr="00623181">
        <w:rPr>
          <w:rFonts w:ascii="Calibri" w:hAnsi="Calibri" w:cs="Calibri"/>
          <w:bCs/>
        </w:rPr>
        <w:t xml:space="preserve">Organisations use of Clinic.co. Clinic.co is a </w:t>
      </w:r>
      <w:proofErr w:type="gramStart"/>
      <w:r w:rsidRPr="00623181">
        <w:rPr>
          <w:rFonts w:ascii="Calibri" w:hAnsi="Calibri" w:cs="Calibri"/>
          <w:bCs/>
        </w:rPr>
        <w:t>technology platforms</w:t>
      </w:r>
      <w:proofErr w:type="gramEnd"/>
      <w:r w:rsidRPr="00623181">
        <w:rPr>
          <w:rFonts w:ascii="Calibri" w:hAnsi="Calibri" w:cs="Calibri"/>
          <w:bCs/>
        </w:rPr>
        <w:t xml:space="preserve"> designed for clinical triage and telemedicine. Clinicians sends a text or email to the patient, containing a link. When pressed on, the patient is prompted to provide consent to share video. Upon consent a video stream is established which enables stream to the clinician. Clinicians can live stream or store video. Clinician can share stream or recording via text/email. </w:t>
      </w:r>
    </w:p>
    <w:p w14:paraId="1DF775E4" w14:textId="397271BD" w:rsidR="00502A33" w:rsidRPr="00623181" w:rsidRDefault="00502A33" w:rsidP="00B934B4">
      <w:pPr>
        <w:rPr>
          <w:rFonts w:ascii="Calibri" w:hAnsi="Calibri" w:cs="Calibri"/>
          <w:bCs/>
        </w:rPr>
      </w:pPr>
    </w:p>
    <w:p w14:paraId="4CFF3FCC" w14:textId="4FE041BF" w:rsidR="00D42FC9" w:rsidRPr="00623181" w:rsidRDefault="00D42FC9" w:rsidP="00D42FC9">
      <w:pPr>
        <w:rPr>
          <w:rFonts w:ascii="Calibri" w:hAnsi="Calibri" w:cs="Calibri"/>
        </w:rPr>
      </w:pPr>
      <w:r w:rsidRPr="00623181">
        <w:rPr>
          <w:rFonts w:ascii="Calibri" w:hAnsi="Calibri" w:cs="Calibri"/>
        </w:rPr>
        <w:t>A DPIA is required as large scale sensitive patient identifiable information (i.e. images streamed from a smartphone or other device) is being processed and transmitted. Data includes:</w:t>
      </w:r>
    </w:p>
    <w:p w14:paraId="69471A58" w14:textId="67CA99A1" w:rsidR="00D42FC9" w:rsidRPr="00623181" w:rsidRDefault="00D42FC9" w:rsidP="00D42FC9">
      <w:pPr>
        <w:rPr>
          <w:rFonts w:ascii="Calibri" w:hAnsi="Calibri" w:cs="Calibri"/>
        </w:rPr>
      </w:pPr>
    </w:p>
    <w:p w14:paraId="0CCAB34E" w14:textId="24646100" w:rsidR="00D42FC9" w:rsidRPr="00623181" w:rsidRDefault="00D42FC9" w:rsidP="00D42FC9">
      <w:pPr>
        <w:pStyle w:val="NormalWeb"/>
        <w:numPr>
          <w:ilvl w:val="0"/>
          <w:numId w:val="11"/>
        </w:numPr>
        <w:spacing w:before="0" w:beforeAutospacing="0" w:after="0" w:afterAutospacing="0"/>
        <w:textAlignment w:val="baseline"/>
        <w:rPr>
          <w:rFonts w:ascii="Calibri" w:hAnsi="Calibri" w:cs="Calibri"/>
          <w:color w:val="000000"/>
        </w:rPr>
      </w:pPr>
      <w:r w:rsidRPr="00623181">
        <w:rPr>
          <w:rFonts w:ascii="Calibri" w:hAnsi="Calibri" w:cs="Calibri"/>
          <w:color w:val="000000"/>
        </w:rPr>
        <w:t>Clinician staff data (typically name, role, organisation, contact details) </w:t>
      </w:r>
    </w:p>
    <w:p w14:paraId="574D7A65" w14:textId="5F4B0386" w:rsidR="00D42FC9" w:rsidRPr="00623181" w:rsidRDefault="00D42FC9" w:rsidP="00D42FC9">
      <w:pPr>
        <w:pStyle w:val="NormalWeb"/>
        <w:numPr>
          <w:ilvl w:val="0"/>
          <w:numId w:val="11"/>
        </w:numPr>
        <w:spacing w:before="0" w:beforeAutospacing="0" w:after="0" w:afterAutospacing="0"/>
        <w:textAlignment w:val="baseline"/>
        <w:rPr>
          <w:rFonts w:ascii="Calibri" w:hAnsi="Calibri" w:cs="Calibri"/>
          <w:color w:val="000000"/>
        </w:rPr>
      </w:pPr>
      <w:r w:rsidRPr="00623181">
        <w:rPr>
          <w:rFonts w:ascii="Calibri" w:hAnsi="Calibri" w:cs="Calibri"/>
          <w:color w:val="000000"/>
        </w:rPr>
        <w:t>Patient data (typically name, identifiers, contact details - mobile number and email)</w:t>
      </w:r>
    </w:p>
    <w:p w14:paraId="525D6455" w14:textId="55B5E195" w:rsidR="00D42FC9" w:rsidRPr="00623181" w:rsidRDefault="00D42FC9" w:rsidP="00D42FC9">
      <w:pPr>
        <w:pStyle w:val="NormalWeb"/>
        <w:numPr>
          <w:ilvl w:val="0"/>
          <w:numId w:val="11"/>
        </w:numPr>
        <w:spacing w:before="0" w:beforeAutospacing="0" w:after="0" w:afterAutospacing="0"/>
        <w:textAlignment w:val="baseline"/>
        <w:rPr>
          <w:rFonts w:ascii="Calibri" w:hAnsi="Calibri" w:cs="Calibri"/>
          <w:color w:val="000000"/>
        </w:rPr>
      </w:pPr>
      <w:r w:rsidRPr="00623181">
        <w:rPr>
          <w:rFonts w:ascii="Calibri" w:hAnsi="Calibri" w:cs="Calibri"/>
          <w:color w:val="000000"/>
        </w:rPr>
        <w:t xml:space="preserve">The video and audio communication of any video consultation is only visible to participants on the call, and is not recorded or stored on any server unless initiated by the clinician. </w:t>
      </w:r>
    </w:p>
    <w:p w14:paraId="3D9BF84E" w14:textId="692C8DD0" w:rsidR="00D42FC9" w:rsidRPr="00623181" w:rsidRDefault="00415EFD" w:rsidP="00D42FC9">
      <w:pPr>
        <w:pStyle w:val="NormalWeb"/>
        <w:numPr>
          <w:ilvl w:val="0"/>
          <w:numId w:val="11"/>
        </w:numPr>
        <w:spacing w:before="0" w:beforeAutospacing="0" w:after="0" w:afterAutospacing="0"/>
        <w:textAlignment w:val="baseline"/>
        <w:rPr>
          <w:rFonts w:ascii="Calibri" w:hAnsi="Calibri" w:cs="Calibri"/>
          <w:color w:val="000000"/>
        </w:rPr>
      </w:pPr>
      <w:r w:rsidRPr="00623181">
        <w:rPr>
          <w:rFonts w:ascii="Calibri" w:hAnsi="Calibri" w:cs="Calibri"/>
          <w:color w:val="000000"/>
        </w:rPr>
        <w:t>Clinicians can also share their screens to show patients images or share medical information with them. This is not recorded or stored on any server unless initiated by the clinician.</w:t>
      </w:r>
    </w:p>
    <w:p w14:paraId="7D43CFA6" w14:textId="77777777" w:rsidR="00D42FC9" w:rsidRPr="00623181" w:rsidRDefault="00D42FC9" w:rsidP="00502A33">
      <w:pPr>
        <w:pStyle w:val="NormalWeb"/>
        <w:numPr>
          <w:ilvl w:val="0"/>
          <w:numId w:val="11"/>
        </w:numPr>
        <w:spacing w:before="0" w:beforeAutospacing="0" w:after="0" w:afterAutospacing="0"/>
        <w:textAlignment w:val="baseline"/>
        <w:rPr>
          <w:rFonts w:ascii="Calibri" w:hAnsi="Calibri" w:cs="Calibri"/>
          <w:color w:val="000000"/>
        </w:rPr>
      </w:pPr>
      <w:r w:rsidRPr="00623181">
        <w:rPr>
          <w:rFonts w:ascii="Calibri" w:hAnsi="Calibri" w:cs="Calibri"/>
          <w:color w:val="000000"/>
        </w:rPr>
        <w:t xml:space="preserve">For our premium service, where patients are </w:t>
      </w:r>
      <w:proofErr w:type="spellStart"/>
      <w:r w:rsidRPr="00623181">
        <w:rPr>
          <w:rFonts w:ascii="Calibri" w:hAnsi="Calibri" w:cs="Calibri"/>
          <w:color w:val="000000"/>
        </w:rPr>
        <w:t>self paying</w:t>
      </w:r>
      <w:proofErr w:type="spellEnd"/>
      <w:r w:rsidRPr="00623181">
        <w:rPr>
          <w:rFonts w:ascii="Calibri" w:hAnsi="Calibri" w:cs="Calibri"/>
          <w:color w:val="000000"/>
        </w:rPr>
        <w:t xml:space="preserve">, we offer clinicians the ability to bill patients directly using vetted sub processors to manage payments. </w:t>
      </w:r>
    </w:p>
    <w:p w14:paraId="76822531" w14:textId="77777777" w:rsidR="00502A33" w:rsidRPr="00623181" w:rsidRDefault="00502A33" w:rsidP="00B934B4">
      <w:pPr>
        <w:rPr>
          <w:rFonts w:ascii="Calibri" w:hAnsi="Calibri" w:cs="Calibri"/>
          <w:bCs/>
        </w:rPr>
      </w:pPr>
    </w:p>
    <w:p w14:paraId="3D13F294" w14:textId="414DE4B8" w:rsidR="00F400A1" w:rsidRPr="00623181" w:rsidRDefault="00F400A1">
      <w:pPr>
        <w:rPr>
          <w:rFonts w:ascii="Calibri" w:hAnsi="Calibri" w:cs="Calibri"/>
          <w:bCs/>
        </w:rPr>
      </w:pPr>
    </w:p>
    <w:p w14:paraId="2FE62556" w14:textId="2B3324DE" w:rsidR="00D42FC9" w:rsidRPr="00623181" w:rsidRDefault="00D42FC9" w:rsidP="007A5ED5">
      <w:pPr>
        <w:rPr>
          <w:rFonts w:ascii="Calibri" w:hAnsi="Calibri" w:cs="Calibri"/>
        </w:rPr>
      </w:pPr>
    </w:p>
    <w:p w14:paraId="641A1D35" w14:textId="77777777" w:rsidR="00D42FC9" w:rsidRPr="00623181" w:rsidRDefault="00D42FC9" w:rsidP="007A5ED5">
      <w:pPr>
        <w:rPr>
          <w:rFonts w:ascii="Calibri" w:hAnsi="Calibri" w:cs="Calibri"/>
        </w:rPr>
      </w:pPr>
    </w:p>
    <w:p w14:paraId="7B0B6506" w14:textId="66A266C1" w:rsidR="007A5ED5" w:rsidRPr="00623181" w:rsidRDefault="007A5ED5" w:rsidP="007A5ED5">
      <w:pPr>
        <w:rPr>
          <w:rFonts w:ascii="Calibri" w:hAnsi="Calibri" w:cs="Calibri"/>
        </w:rPr>
      </w:pPr>
    </w:p>
    <w:p w14:paraId="7F4CF238" w14:textId="77777777" w:rsidR="00F16FE1" w:rsidRPr="00623181" w:rsidRDefault="00F16FE1" w:rsidP="007A5ED5">
      <w:pPr>
        <w:rPr>
          <w:rFonts w:ascii="Calibri" w:hAnsi="Calibri" w:cs="Calibri"/>
        </w:rPr>
      </w:pPr>
    </w:p>
    <w:p w14:paraId="42502D24" w14:textId="7D2DAE22" w:rsidR="00B934B4" w:rsidRPr="00623181" w:rsidRDefault="00B934B4" w:rsidP="007A5ED5">
      <w:pPr>
        <w:rPr>
          <w:rFonts w:ascii="Calibri" w:hAnsi="Calibri" w:cs="Calibri"/>
          <w:b/>
          <w:bCs/>
        </w:rPr>
      </w:pPr>
      <w:r w:rsidRPr="00623181">
        <w:rPr>
          <w:rFonts w:ascii="Calibri" w:hAnsi="Calibri" w:cs="Calibri"/>
          <w:b/>
          <w:bCs/>
        </w:rPr>
        <w:t>2.</w:t>
      </w:r>
      <w:r w:rsidR="004726FB" w:rsidRPr="00623181">
        <w:rPr>
          <w:rFonts w:ascii="Calibri" w:hAnsi="Calibri" w:cs="Calibri"/>
          <w:b/>
          <w:bCs/>
        </w:rPr>
        <w:t xml:space="preserve"> </w:t>
      </w:r>
      <w:r w:rsidR="007A5ED5" w:rsidRPr="00623181">
        <w:rPr>
          <w:rFonts w:ascii="Calibri" w:hAnsi="Calibri" w:cs="Calibri"/>
          <w:b/>
          <w:bCs/>
        </w:rPr>
        <w:t>Nature of processing</w:t>
      </w:r>
      <w:r w:rsidR="004726FB" w:rsidRPr="00623181">
        <w:rPr>
          <w:rFonts w:ascii="Calibri" w:hAnsi="Calibri" w:cs="Calibri"/>
          <w:b/>
          <w:bCs/>
        </w:rPr>
        <w:t xml:space="preserve"> and benefits </w:t>
      </w:r>
    </w:p>
    <w:p w14:paraId="0D592109" w14:textId="77777777" w:rsidR="00B934B4" w:rsidRPr="00623181" w:rsidRDefault="00B934B4" w:rsidP="007A5ED5">
      <w:pPr>
        <w:rPr>
          <w:rFonts w:ascii="Calibri" w:hAnsi="Calibri" w:cs="Calibri"/>
        </w:rPr>
      </w:pPr>
    </w:p>
    <w:p w14:paraId="51927B2F" w14:textId="411AF5B0" w:rsidR="007A5ED5" w:rsidRPr="00623181" w:rsidRDefault="007A5ED5" w:rsidP="007A5ED5">
      <w:pPr>
        <w:rPr>
          <w:rFonts w:ascii="Calibri" w:hAnsi="Calibri" w:cs="Calibri"/>
        </w:rPr>
      </w:pPr>
      <w:r w:rsidRPr="00623181">
        <w:rPr>
          <w:rFonts w:ascii="Calibri" w:hAnsi="Calibri" w:cs="Calibri"/>
        </w:rPr>
        <w:t xml:space="preserve">The source of the data will be a </w:t>
      </w:r>
      <w:proofErr w:type="gramStart"/>
      <w:r w:rsidRPr="00623181">
        <w:rPr>
          <w:rFonts w:ascii="Calibri" w:hAnsi="Calibri" w:cs="Calibri"/>
        </w:rPr>
        <w:t>patients</w:t>
      </w:r>
      <w:proofErr w:type="gramEnd"/>
      <w:r w:rsidRPr="00623181">
        <w:rPr>
          <w:rFonts w:ascii="Calibri" w:hAnsi="Calibri" w:cs="Calibri"/>
        </w:rPr>
        <w:t xml:space="preserve"> smartphone, computer or tablet where they have agreed to allow the use of its camera via a secure video-link. The video-data captured will only be available to the clinician of the organisation, although the products of that data can be used to inform clinical assessments which may then be shared with others involved in the individual’s direct care.  </w:t>
      </w:r>
    </w:p>
    <w:p w14:paraId="367E8781" w14:textId="77777777" w:rsidR="007A5ED5" w:rsidRPr="00623181" w:rsidRDefault="007A5ED5" w:rsidP="007A5ED5">
      <w:pPr>
        <w:rPr>
          <w:rFonts w:ascii="Calibri" w:hAnsi="Calibri" w:cs="Calibri"/>
        </w:rPr>
      </w:pPr>
    </w:p>
    <w:p w14:paraId="149AF528" w14:textId="5CB1370E" w:rsidR="007A5ED5" w:rsidRPr="00623181" w:rsidRDefault="007A5ED5" w:rsidP="007A5ED5">
      <w:pPr>
        <w:rPr>
          <w:rFonts w:ascii="Calibri" w:hAnsi="Calibri" w:cs="Calibri"/>
        </w:rPr>
      </w:pPr>
      <w:r w:rsidRPr="00623181">
        <w:rPr>
          <w:rFonts w:ascii="Calibri" w:hAnsi="Calibri" w:cs="Calibri"/>
        </w:rPr>
        <w:t xml:space="preserve">No particularly high-risk data processing is involved as compared to conventional hear-and-treat and see-and-treat processes. It is the case that there will be more video data accessed than previously. Video will capture special category health data. However, for clinicians, it effectively supplies comprehensive information along existing data flows, rather than ‘new’ data flows. </w:t>
      </w:r>
    </w:p>
    <w:p w14:paraId="159A0202" w14:textId="504BCC1C" w:rsidR="007A5ED5" w:rsidRPr="00623181" w:rsidRDefault="007A5ED5" w:rsidP="007A5ED5">
      <w:pPr>
        <w:rPr>
          <w:rFonts w:ascii="Calibri" w:hAnsi="Calibri" w:cs="Calibri"/>
        </w:rPr>
      </w:pPr>
    </w:p>
    <w:p w14:paraId="2E4AFF92" w14:textId="5C7E40FE" w:rsidR="007A5ED5" w:rsidRPr="00623181" w:rsidRDefault="007A5ED5" w:rsidP="007A5ED5">
      <w:pPr>
        <w:pStyle w:val="BodyText"/>
        <w:ind w:right="177"/>
        <w:rPr>
          <w:rFonts w:ascii="Calibri" w:hAnsi="Calibri" w:cs="Calibri"/>
        </w:rPr>
      </w:pPr>
      <w:r w:rsidRPr="00623181">
        <w:rPr>
          <w:rFonts w:ascii="Calibri" w:hAnsi="Calibri" w:cs="Calibri"/>
        </w:rPr>
        <w:t xml:space="preserve">The nature of the data is a live video stream (plus audio from the call) of a patient/their injuries or condition/the circumstances in which they are contacting the </w:t>
      </w:r>
      <w:r w:rsidR="004726FB" w:rsidRPr="00623181">
        <w:rPr>
          <w:rFonts w:ascii="Calibri" w:hAnsi="Calibri" w:cs="Calibri"/>
        </w:rPr>
        <w:t>clinician</w:t>
      </w:r>
      <w:r w:rsidRPr="00623181">
        <w:rPr>
          <w:rFonts w:ascii="Calibri" w:hAnsi="Calibri" w:cs="Calibri"/>
        </w:rPr>
        <w:t>. This approach to communication should only be used if the patient wishes to use the system and actively takes steps to activate the video-link. If a patient does not want to use video consultation, then data will not be captured.</w:t>
      </w:r>
    </w:p>
    <w:p w14:paraId="729026D0" w14:textId="1F2DF1E6" w:rsidR="004726FB" w:rsidRPr="00623181" w:rsidRDefault="004726FB" w:rsidP="007A5ED5">
      <w:pPr>
        <w:pStyle w:val="BodyText"/>
        <w:ind w:right="177"/>
        <w:rPr>
          <w:rFonts w:ascii="Calibri" w:hAnsi="Calibri" w:cs="Calibri"/>
        </w:rPr>
      </w:pPr>
    </w:p>
    <w:p w14:paraId="6B4FA98C" w14:textId="4A22A953" w:rsidR="00F16FE1" w:rsidRPr="00623181" w:rsidRDefault="004726FB" w:rsidP="007A5ED5">
      <w:pPr>
        <w:pStyle w:val="BodyText"/>
        <w:ind w:right="177"/>
        <w:rPr>
          <w:rFonts w:ascii="Calibri" w:hAnsi="Calibri" w:cs="Calibri"/>
        </w:rPr>
      </w:pPr>
      <w:r w:rsidRPr="00623181">
        <w:rPr>
          <w:rFonts w:ascii="Calibri" w:hAnsi="Calibri" w:cs="Calibri"/>
        </w:rPr>
        <w:t xml:space="preserve">There are times where the call handler / clinician may not correctly assess the patient as they are doing so based on what the caller is telling them.  There will be occasions where a </w:t>
      </w:r>
      <w:r w:rsidR="00F16FE1" w:rsidRPr="00623181">
        <w:rPr>
          <w:rFonts w:ascii="Calibri" w:hAnsi="Calibri" w:cs="Calibri"/>
        </w:rPr>
        <w:t>patient</w:t>
      </w:r>
      <w:r w:rsidRPr="00623181">
        <w:rPr>
          <w:rFonts w:ascii="Calibri" w:hAnsi="Calibri" w:cs="Calibri"/>
        </w:rPr>
        <w:t xml:space="preserve"> cannot or does not fully / accurately explain </w:t>
      </w:r>
      <w:r w:rsidR="00F16FE1" w:rsidRPr="00623181">
        <w:rPr>
          <w:rFonts w:ascii="Calibri" w:hAnsi="Calibri" w:cs="Calibri"/>
        </w:rPr>
        <w:t xml:space="preserve">their condition. A live video stream provides a clear picture to the </w:t>
      </w:r>
      <w:r w:rsidR="00623181" w:rsidRPr="00623181">
        <w:rPr>
          <w:rFonts w:ascii="Calibri" w:hAnsi="Calibri" w:cs="Calibri"/>
        </w:rPr>
        <w:t>clinic an</w:t>
      </w:r>
      <w:r w:rsidR="00F16FE1" w:rsidRPr="00623181">
        <w:rPr>
          <w:rFonts w:ascii="Calibri" w:hAnsi="Calibri" w:cs="Calibri"/>
        </w:rPr>
        <w:t xml:space="preserve"> – enabling them to see and treat, rather than hear and treat. </w:t>
      </w:r>
    </w:p>
    <w:p w14:paraId="29E31898" w14:textId="77777777" w:rsidR="00F16FE1" w:rsidRPr="00623181" w:rsidRDefault="00F16FE1" w:rsidP="007A5ED5">
      <w:pPr>
        <w:pStyle w:val="BodyText"/>
        <w:ind w:right="177"/>
        <w:rPr>
          <w:rFonts w:ascii="Calibri" w:hAnsi="Calibri" w:cs="Calibri"/>
        </w:rPr>
      </w:pPr>
    </w:p>
    <w:p w14:paraId="6F407BCD" w14:textId="45F55511" w:rsidR="00F16FE1" w:rsidRPr="00623181" w:rsidRDefault="00F16FE1" w:rsidP="007A5ED5">
      <w:pPr>
        <w:pStyle w:val="BodyText"/>
        <w:ind w:right="177"/>
        <w:rPr>
          <w:rFonts w:ascii="Calibri" w:hAnsi="Calibri" w:cs="Calibri"/>
        </w:rPr>
      </w:pPr>
      <w:r w:rsidRPr="00623181">
        <w:rPr>
          <w:rFonts w:ascii="Calibri" w:hAnsi="Calibri" w:cs="Calibri"/>
        </w:rPr>
        <w:t>Key benefits:</w:t>
      </w:r>
    </w:p>
    <w:p w14:paraId="6FCD376D" w14:textId="77777777" w:rsidR="00F16FE1" w:rsidRPr="00623181" w:rsidRDefault="00F16FE1" w:rsidP="007A5ED5">
      <w:pPr>
        <w:pStyle w:val="BodyText"/>
        <w:ind w:right="177"/>
        <w:rPr>
          <w:rFonts w:ascii="Calibri" w:hAnsi="Calibri" w:cs="Calibri"/>
        </w:rPr>
      </w:pPr>
    </w:p>
    <w:p w14:paraId="15D06FB0" w14:textId="3F0A8FB6" w:rsidR="00F16FE1" w:rsidRPr="00623181" w:rsidRDefault="00F16FE1" w:rsidP="00623181">
      <w:pPr>
        <w:pStyle w:val="ListParagraph"/>
        <w:numPr>
          <w:ilvl w:val="0"/>
          <w:numId w:val="12"/>
        </w:numPr>
        <w:jc w:val="both"/>
        <w:rPr>
          <w:rFonts w:ascii="Calibri" w:hAnsi="Calibri" w:cs="Calibri"/>
        </w:rPr>
      </w:pPr>
      <w:r w:rsidRPr="00623181">
        <w:rPr>
          <w:rFonts w:ascii="Calibri" w:hAnsi="Calibri" w:cs="Calibri"/>
        </w:rPr>
        <w:t xml:space="preserve">Clinician can make more accurate assessments and treat patients remotely.  </w:t>
      </w:r>
    </w:p>
    <w:p w14:paraId="78598069" w14:textId="4F64FE9A" w:rsidR="00F16FE1" w:rsidRPr="00623181" w:rsidRDefault="00F16FE1" w:rsidP="00623181">
      <w:pPr>
        <w:pStyle w:val="ListParagraph"/>
        <w:numPr>
          <w:ilvl w:val="0"/>
          <w:numId w:val="12"/>
        </w:numPr>
        <w:jc w:val="both"/>
        <w:rPr>
          <w:rFonts w:ascii="Calibri" w:hAnsi="Calibri" w:cs="Calibri"/>
        </w:rPr>
      </w:pPr>
      <w:r w:rsidRPr="00623181">
        <w:rPr>
          <w:rFonts w:ascii="Calibri" w:hAnsi="Calibri" w:cs="Calibri"/>
        </w:rPr>
        <w:t xml:space="preserve">Supports clinicians to be more efficient in dealing with the increasing number of calls and determine appropriate pathway. </w:t>
      </w:r>
    </w:p>
    <w:p w14:paraId="4929C03C" w14:textId="1668A569" w:rsidR="00F16FE1" w:rsidRPr="00623181" w:rsidRDefault="00F16FE1" w:rsidP="00623181">
      <w:pPr>
        <w:pStyle w:val="ListParagraph"/>
        <w:numPr>
          <w:ilvl w:val="0"/>
          <w:numId w:val="12"/>
        </w:numPr>
        <w:jc w:val="both"/>
        <w:rPr>
          <w:rFonts w:ascii="Calibri" w:hAnsi="Calibri" w:cs="Calibri"/>
        </w:rPr>
      </w:pPr>
      <w:r w:rsidRPr="00623181">
        <w:rPr>
          <w:rFonts w:ascii="Calibri" w:hAnsi="Calibri" w:cs="Calibri"/>
        </w:rPr>
        <w:t xml:space="preserve">This improves clinician safety – i.e. coronavirus and other patients in practice.  </w:t>
      </w:r>
    </w:p>
    <w:p w14:paraId="479E5B86" w14:textId="5C7D2908" w:rsidR="00F16FE1" w:rsidRPr="00623181" w:rsidRDefault="00F16FE1" w:rsidP="00623181">
      <w:pPr>
        <w:pStyle w:val="ListParagraph"/>
        <w:numPr>
          <w:ilvl w:val="0"/>
          <w:numId w:val="12"/>
        </w:numPr>
        <w:jc w:val="both"/>
        <w:rPr>
          <w:rFonts w:ascii="Calibri" w:hAnsi="Calibri" w:cs="Calibri"/>
        </w:rPr>
      </w:pPr>
      <w:r w:rsidRPr="00623181">
        <w:rPr>
          <w:rFonts w:ascii="Calibri" w:hAnsi="Calibri" w:cs="Calibri"/>
        </w:rPr>
        <w:t xml:space="preserve">Improves patient access to a clinician – works on any device with no software download required. </w:t>
      </w:r>
    </w:p>
    <w:p w14:paraId="223539E9" w14:textId="77777777" w:rsidR="00F16FE1" w:rsidRPr="00623181" w:rsidRDefault="00F16FE1" w:rsidP="007A5ED5">
      <w:pPr>
        <w:pStyle w:val="BodyText"/>
        <w:ind w:right="177"/>
        <w:rPr>
          <w:rFonts w:ascii="Calibri" w:hAnsi="Calibri" w:cs="Calibri"/>
        </w:rPr>
      </w:pPr>
    </w:p>
    <w:p w14:paraId="5984EF1F" w14:textId="5FF2C38D" w:rsidR="004726FB" w:rsidRPr="00623181" w:rsidRDefault="004726FB" w:rsidP="007A5ED5">
      <w:pPr>
        <w:pStyle w:val="BodyText"/>
        <w:ind w:right="177"/>
        <w:rPr>
          <w:rFonts w:ascii="Calibri" w:hAnsi="Calibri" w:cs="Calibri"/>
          <w:b/>
          <w:bCs/>
        </w:rPr>
      </w:pPr>
      <w:r w:rsidRPr="00623181">
        <w:rPr>
          <w:rFonts w:ascii="Calibri" w:hAnsi="Calibri" w:cs="Calibri"/>
          <w:b/>
          <w:bCs/>
        </w:rPr>
        <w:t>3. Type of processing</w:t>
      </w:r>
    </w:p>
    <w:p w14:paraId="47A87616" w14:textId="24C708C7" w:rsidR="004726FB" w:rsidRPr="00623181" w:rsidRDefault="004726FB" w:rsidP="007A5ED5">
      <w:pPr>
        <w:pStyle w:val="BodyText"/>
        <w:ind w:right="177"/>
        <w:rPr>
          <w:rFonts w:ascii="Calibri" w:hAnsi="Calibri" w:cs="Calibri"/>
        </w:rPr>
      </w:pPr>
    </w:p>
    <w:p w14:paraId="02A88B85" w14:textId="15967BFD" w:rsidR="004726FB" w:rsidRPr="00623181" w:rsidRDefault="004726FB" w:rsidP="00623181">
      <w:pPr>
        <w:pStyle w:val="BodyText"/>
        <w:numPr>
          <w:ilvl w:val="0"/>
          <w:numId w:val="13"/>
        </w:numPr>
        <w:ind w:right="177"/>
        <w:rPr>
          <w:rFonts w:ascii="Calibri" w:hAnsi="Calibri" w:cs="Calibri"/>
        </w:rPr>
      </w:pPr>
      <w:r w:rsidRPr="00623181">
        <w:rPr>
          <w:rFonts w:ascii="Calibri" w:hAnsi="Calibri" w:cs="Calibri"/>
        </w:rPr>
        <w:t xml:space="preserve">Special category - video data. </w:t>
      </w:r>
    </w:p>
    <w:p w14:paraId="2820279D" w14:textId="0A38EB1E" w:rsidR="004726FB" w:rsidRPr="00623181" w:rsidRDefault="004726FB" w:rsidP="00623181">
      <w:pPr>
        <w:pStyle w:val="BodyText"/>
        <w:numPr>
          <w:ilvl w:val="0"/>
          <w:numId w:val="13"/>
        </w:numPr>
        <w:ind w:right="177"/>
        <w:rPr>
          <w:rFonts w:ascii="Calibri" w:hAnsi="Calibri" w:cs="Calibri"/>
        </w:rPr>
      </w:pPr>
      <w:r w:rsidRPr="00623181">
        <w:rPr>
          <w:rFonts w:ascii="Calibri" w:hAnsi="Calibri" w:cs="Calibri"/>
        </w:rPr>
        <w:t xml:space="preserve">Basic identifier - Mobile phone number/email address. </w:t>
      </w:r>
    </w:p>
    <w:p w14:paraId="44A091D3" w14:textId="71DF2CFD" w:rsidR="00623181" w:rsidRPr="00623181" w:rsidRDefault="00623181" w:rsidP="00623181">
      <w:pPr>
        <w:pStyle w:val="BodyText"/>
        <w:numPr>
          <w:ilvl w:val="0"/>
          <w:numId w:val="13"/>
        </w:numPr>
        <w:ind w:right="177"/>
        <w:rPr>
          <w:rFonts w:ascii="Calibri" w:hAnsi="Calibri" w:cs="Calibri"/>
        </w:rPr>
      </w:pPr>
      <w:r w:rsidRPr="00623181">
        <w:rPr>
          <w:rFonts w:ascii="Calibri" w:hAnsi="Calibri" w:cs="Calibri"/>
        </w:rPr>
        <w:t>Medical records where the clinician shares screen with patients</w:t>
      </w:r>
    </w:p>
    <w:p w14:paraId="73660A1E" w14:textId="6EFB543E" w:rsidR="00B934B4" w:rsidRPr="00623181" w:rsidRDefault="00B934B4" w:rsidP="007A5ED5">
      <w:pPr>
        <w:pStyle w:val="BodyText"/>
        <w:ind w:right="177"/>
        <w:rPr>
          <w:rFonts w:ascii="Calibri" w:hAnsi="Calibri" w:cs="Calibri"/>
        </w:rPr>
      </w:pPr>
    </w:p>
    <w:p w14:paraId="3ADBBBFF" w14:textId="77777777" w:rsidR="00F16FE1" w:rsidRPr="00623181" w:rsidRDefault="00F16FE1" w:rsidP="007A5ED5">
      <w:pPr>
        <w:pStyle w:val="BodyText"/>
        <w:ind w:right="177"/>
        <w:rPr>
          <w:rFonts w:ascii="Calibri" w:hAnsi="Calibri" w:cs="Calibri"/>
        </w:rPr>
      </w:pPr>
    </w:p>
    <w:p w14:paraId="067F2FA5" w14:textId="76455C8E" w:rsidR="00B934B4" w:rsidRPr="00623181" w:rsidRDefault="004726FB" w:rsidP="00B934B4">
      <w:pPr>
        <w:pStyle w:val="BodyText"/>
        <w:ind w:right="97"/>
        <w:rPr>
          <w:rFonts w:ascii="Calibri" w:hAnsi="Calibri" w:cs="Calibri"/>
          <w:b/>
        </w:rPr>
      </w:pPr>
      <w:r w:rsidRPr="00623181">
        <w:rPr>
          <w:rFonts w:ascii="Calibri" w:hAnsi="Calibri" w:cs="Calibri"/>
          <w:b/>
          <w:bCs/>
        </w:rPr>
        <w:t>4</w:t>
      </w:r>
      <w:r w:rsidR="00B934B4" w:rsidRPr="00623181">
        <w:rPr>
          <w:rFonts w:ascii="Calibri" w:hAnsi="Calibri" w:cs="Calibri"/>
          <w:b/>
          <w:bCs/>
        </w:rPr>
        <w:t xml:space="preserve">. </w:t>
      </w:r>
      <w:r w:rsidR="00623181" w:rsidRPr="00623181">
        <w:rPr>
          <w:rFonts w:ascii="Calibri" w:hAnsi="Calibri" w:cs="Calibri"/>
          <w:b/>
          <w:bCs/>
        </w:rPr>
        <w:t>Consent</w:t>
      </w:r>
    </w:p>
    <w:p w14:paraId="585379F9" w14:textId="77777777" w:rsidR="00B934B4" w:rsidRPr="00623181" w:rsidRDefault="00B934B4" w:rsidP="00B934B4">
      <w:pPr>
        <w:pStyle w:val="BodyText"/>
        <w:ind w:left="145" w:right="97"/>
        <w:rPr>
          <w:rFonts w:ascii="Calibri" w:hAnsi="Calibri" w:cs="Calibri"/>
        </w:rPr>
      </w:pPr>
    </w:p>
    <w:p w14:paraId="71CDB472" w14:textId="77777777" w:rsidR="00623181" w:rsidRDefault="00B934B4" w:rsidP="00623181">
      <w:pPr>
        <w:pStyle w:val="BodyText"/>
        <w:numPr>
          <w:ilvl w:val="0"/>
          <w:numId w:val="14"/>
        </w:numPr>
        <w:tabs>
          <w:tab w:val="left" w:pos="6237"/>
        </w:tabs>
        <w:ind w:right="97"/>
        <w:rPr>
          <w:rFonts w:ascii="Calibri" w:hAnsi="Calibri" w:cs="Calibri"/>
        </w:rPr>
      </w:pPr>
      <w:r w:rsidRPr="00623181">
        <w:rPr>
          <w:rFonts w:ascii="Calibri" w:hAnsi="Calibri" w:cs="Calibri"/>
        </w:rPr>
        <w:t xml:space="preserve">All callers </w:t>
      </w:r>
      <w:r w:rsidR="00623181" w:rsidRPr="00623181">
        <w:rPr>
          <w:rFonts w:ascii="Calibri" w:hAnsi="Calibri" w:cs="Calibri"/>
        </w:rPr>
        <w:t>are</w:t>
      </w:r>
      <w:r w:rsidRPr="00623181">
        <w:rPr>
          <w:rFonts w:ascii="Calibri" w:hAnsi="Calibri" w:cs="Calibri"/>
        </w:rPr>
        <w:t xml:space="preserve"> given the option of using the </w:t>
      </w:r>
      <w:r w:rsidR="00623181">
        <w:rPr>
          <w:rFonts w:ascii="Calibri" w:hAnsi="Calibri" w:cs="Calibri"/>
        </w:rPr>
        <w:t>clinic.co</w:t>
      </w:r>
      <w:r w:rsidRPr="00623181">
        <w:rPr>
          <w:rFonts w:ascii="Calibri" w:hAnsi="Calibri" w:cs="Calibri"/>
        </w:rPr>
        <w:t xml:space="preserve"> system</w:t>
      </w:r>
      <w:r w:rsidR="00623181" w:rsidRPr="00623181">
        <w:rPr>
          <w:rFonts w:ascii="Calibri" w:hAnsi="Calibri" w:cs="Calibri"/>
        </w:rPr>
        <w:t xml:space="preserve"> and asked to </w:t>
      </w:r>
      <w:r w:rsidR="00623181">
        <w:rPr>
          <w:rFonts w:ascii="Calibri" w:hAnsi="Calibri" w:cs="Calibri"/>
        </w:rPr>
        <w:t xml:space="preserve">actively </w:t>
      </w:r>
      <w:r w:rsidR="00623181" w:rsidRPr="00623181">
        <w:rPr>
          <w:rFonts w:ascii="Calibri" w:hAnsi="Calibri" w:cs="Calibri"/>
        </w:rPr>
        <w:t>click on the hyperlink to confirm consent</w:t>
      </w:r>
      <w:r w:rsidR="00623181">
        <w:rPr>
          <w:rFonts w:ascii="Calibri" w:hAnsi="Calibri" w:cs="Calibri"/>
        </w:rPr>
        <w:t xml:space="preserve"> to provide with live streaming</w:t>
      </w:r>
      <w:r w:rsidRPr="00623181">
        <w:rPr>
          <w:rFonts w:ascii="Calibri" w:hAnsi="Calibri" w:cs="Calibri"/>
        </w:rPr>
        <w:t xml:space="preserve">. </w:t>
      </w:r>
    </w:p>
    <w:p w14:paraId="020EA61F" w14:textId="074ACAAE" w:rsidR="00F16FE1" w:rsidRDefault="00623181" w:rsidP="00623181">
      <w:pPr>
        <w:pStyle w:val="BodyText"/>
        <w:numPr>
          <w:ilvl w:val="0"/>
          <w:numId w:val="14"/>
        </w:numPr>
        <w:tabs>
          <w:tab w:val="left" w:pos="6237"/>
        </w:tabs>
        <w:ind w:right="97"/>
        <w:rPr>
          <w:rFonts w:ascii="Calibri" w:hAnsi="Calibri" w:cs="Calibri"/>
        </w:rPr>
      </w:pPr>
      <w:r w:rsidRPr="00623181">
        <w:rPr>
          <w:rFonts w:ascii="Calibri" w:hAnsi="Calibri" w:cs="Calibri"/>
        </w:rPr>
        <w:t xml:space="preserve">The message from the caller can be amended by the clinician </w:t>
      </w:r>
      <w:r>
        <w:rPr>
          <w:rFonts w:ascii="Calibri" w:hAnsi="Calibri" w:cs="Calibri"/>
        </w:rPr>
        <w:t>if specific consent is</w:t>
      </w:r>
      <w:r w:rsidRPr="00623181">
        <w:rPr>
          <w:rFonts w:ascii="Calibri" w:hAnsi="Calibri" w:cs="Calibri"/>
        </w:rPr>
        <w:t xml:space="preserve"> required</w:t>
      </w:r>
      <w:r>
        <w:rPr>
          <w:rFonts w:ascii="Calibri" w:hAnsi="Calibri" w:cs="Calibri"/>
        </w:rPr>
        <w:t xml:space="preserve"> </w:t>
      </w:r>
    </w:p>
    <w:p w14:paraId="5B4E37AC" w14:textId="77777777" w:rsidR="00623181" w:rsidRPr="00623181" w:rsidRDefault="00623181" w:rsidP="00623181">
      <w:pPr>
        <w:pStyle w:val="BodyText"/>
        <w:tabs>
          <w:tab w:val="left" w:pos="6237"/>
        </w:tabs>
        <w:ind w:left="720" w:right="97"/>
        <w:rPr>
          <w:rFonts w:ascii="Calibri" w:hAnsi="Calibri" w:cs="Calibri"/>
        </w:rPr>
      </w:pPr>
    </w:p>
    <w:p w14:paraId="2161F3F1" w14:textId="66F7B2ED" w:rsidR="00B934B4" w:rsidRPr="00623181" w:rsidRDefault="004726FB" w:rsidP="007A5ED5">
      <w:pPr>
        <w:pStyle w:val="BodyText"/>
        <w:ind w:right="670"/>
        <w:rPr>
          <w:rFonts w:ascii="Calibri" w:hAnsi="Calibri" w:cs="Calibri"/>
          <w:b/>
          <w:bCs/>
        </w:rPr>
      </w:pPr>
      <w:r w:rsidRPr="00623181">
        <w:rPr>
          <w:rFonts w:ascii="Calibri" w:hAnsi="Calibri" w:cs="Calibri"/>
          <w:b/>
          <w:bCs/>
        </w:rPr>
        <w:t>5</w:t>
      </w:r>
      <w:r w:rsidR="00B934B4" w:rsidRPr="00623181">
        <w:rPr>
          <w:rFonts w:ascii="Calibri" w:hAnsi="Calibri" w:cs="Calibri"/>
          <w:b/>
          <w:bCs/>
        </w:rPr>
        <w:t xml:space="preserve">. </w:t>
      </w:r>
      <w:r w:rsidR="007A5ED5" w:rsidRPr="00623181">
        <w:rPr>
          <w:rFonts w:ascii="Calibri" w:hAnsi="Calibri" w:cs="Calibri"/>
          <w:b/>
          <w:bCs/>
        </w:rPr>
        <w:t>Data storage</w:t>
      </w:r>
    </w:p>
    <w:p w14:paraId="100A201A" w14:textId="77777777" w:rsidR="00B934B4" w:rsidRPr="00623181" w:rsidRDefault="00B934B4" w:rsidP="007A5ED5">
      <w:pPr>
        <w:pStyle w:val="BodyText"/>
        <w:ind w:right="670"/>
        <w:rPr>
          <w:rFonts w:ascii="Calibri" w:hAnsi="Calibri" w:cs="Calibri"/>
          <w:b/>
          <w:bCs/>
        </w:rPr>
      </w:pPr>
    </w:p>
    <w:p w14:paraId="4B823D6A" w14:textId="7FD26A6E" w:rsidR="007A5ED5" w:rsidRPr="00623181" w:rsidRDefault="007A5ED5" w:rsidP="007A5ED5">
      <w:pPr>
        <w:pStyle w:val="BodyText"/>
        <w:ind w:right="670"/>
        <w:rPr>
          <w:rFonts w:ascii="Calibri" w:hAnsi="Calibri" w:cs="Calibri"/>
        </w:rPr>
      </w:pPr>
      <w:r w:rsidRPr="00623181">
        <w:rPr>
          <w:rFonts w:ascii="Calibri" w:hAnsi="Calibri" w:cs="Calibri"/>
        </w:rPr>
        <w:t xml:space="preserve">There are three options for video storage: Not stored, stored in AWS (GDPR, NHS approved) cloud, or stored locally via an API that pulls the video to </w:t>
      </w:r>
      <w:proofErr w:type="gramStart"/>
      <w:r w:rsidR="004726FB" w:rsidRPr="00623181">
        <w:rPr>
          <w:rFonts w:ascii="Calibri" w:hAnsi="Calibri" w:cs="Calibri"/>
        </w:rPr>
        <w:t>clinicians</w:t>
      </w:r>
      <w:proofErr w:type="gramEnd"/>
      <w:r w:rsidRPr="00623181">
        <w:rPr>
          <w:rFonts w:ascii="Calibri" w:hAnsi="Calibri" w:cs="Calibri"/>
        </w:rPr>
        <w:t xml:space="preserve"> own server.</w:t>
      </w:r>
      <w:r w:rsidR="004726FB" w:rsidRPr="00623181">
        <w:rPr>
          <w:rFonts w:ascii="Calibri" w:hAnsi="Calibri" w:cs="Calibri"/>
        </w:rPr>
        <w:t xml:space="preserve"> </w:t>
      </w:r>
      <w:r w:rsidR="00623181">
        <w:rPr>
          <w:rFonts w:ascii="Calibri" w:hAnsi="Calibri" w:cs="Calibri"/>
        </w:rPr>
        <w:t xml:space="preserve">For our basic service, no video is recorded. Clinicians have the option to store video if using our premium service. In these scenarios, recordings are </w:t>
      </w:r>
      <w:r w:rsidR="006E7752">
        <w:rPr>
          <w:rFonts w:ascii="Calibri" w:hAnsi="Calibri" w:cs="Calibri"/>
        </w:rPr>
        <w:t xml:space="preserve">fully auditable and the </w:t>
      </w:r>
      <w:r w:rsidR="00F16FE1" w:rsidRPr="00623181">
        <w:rPr>
          <w:rFonts w:ascii="Calibri" w:hAnsi="Calibri" w:cs="Calibri"/>
        </w:rPr>
        <w:t>retention period</w:t>
      </w:r>
      <w:r w:rsidR="006E7752">
        <w:rPr>
          <w:rFonts w:ascii="Calibri" w:hAnsi="Calibri" w:cs="Calibri"/>
        </w:rPr>
        <w:t xml:space="preserve"> can be determined by the clinician. No data is stored on the </w:t>
      </w:r>
      <w:proofErr w:type="gramStart"/>
      <w:r w:rsidR="006E7752">
        <w:rPr>
          <w:rFonts w:ascii="Calibri" w:hAnsi="Calibri" w:cs="Calibri"/>
        </w:rPr>
        <w:t>patients</w:t>
      </w:r>
      <w:proofErr w:type="gramEnd"/>
      <w:r w:rsidR="006E7752">
        <w:rPr>
          <w:rFonts w:ascii="Calibri" w:hAnsi="Calibri" w:cs="Calibri"/>
        </w:rPr>
        <w:t xml:space="preserve"> device. </w:t>
      </w:r>
    </w:p>
    <w:p w14:paraId="4C6EE881" w14:textId="77777777" w:rsidR="00F16FE1" w:rsidRPr="00623181" w:rsidRDefault="00F16FE1" w:rsidP="007A5ED5">
      <w:pPr>
        <w:pStyle w:val="BodyText"/>
        <w:ind w:right="670"/>
        <w:rPr>
          <w:rFonts w:ascii="Calibri" w:hAnsi="Calibri" w:cs="Calibri"/>
          <w:b/>
          <w:bCs/>
        </w:rPr>
      </w:pPr>
    </w:p>
    <w:p w14:paraId="52CDC9E4" w14:textId="3B7810FD" w:rsidR="00B934B4" w:rsidRPr="00623181" w:rsidRDefault="00F16FE1" w:rsidP="007A5ED5">
      <w:pPr>
        <w:pStyle w:val="BodyText"/>
        <w:ind w:right="670"/>
        <w:rPr>
          <w:rFonts w:ascii="Calibri" w:hAnsi="Calibri" w:cs="Calibri"/>
          <w:b/>
          <w:bCs/>
        </w:rPr>
      </w:pPr>
      <w:r w:rsidRPr="00623181">
        <w:rPr>
          <w:rFonts w:ascii="Calibri" w:hAnsi="Calibri" w:cs="Calibri"/>
          <w:b/>
          <w:bCs/>
        </w:rPr>
        <w:t>6</w:t>
      </w:r>
      <w:r w:rsidR="00B934B4" w:rsidRPr="00623181">
        <w:rPr>
          <w:rFonts w:ascii="Calibri" w:hAnsi="Calibri" w:cs="Calibri"/>
          <w:b/>
          <w:bCs/>
        </w:rPr>
        <w:t xml:space="preserve">. </w:t>
      </w:r>
      <w:r w:rsidR="007A5ED5" w:rsidRPr="00623181">
        <w:rPr>
          <w:rFonts w:ascii="Calibri" w:hAnsi="Calibri" w:cs="Calibri"/>
          <w:b/>
          <w:bCs/>
        </w:rPr>
        <w:t>Data Security</w:t>
      </w:r>
    </w:p>
    <w:p w14:paraId="61121107" w14:textId="77777777" w:rsidR="00B934B4" w:rsidRPr="00623181" w:rsidRDefault="00B934B4" w:rsidP="007A5ED5">
      <w:pPr>
        <w:pStyle w:val="BodyText"/>
        <w:ind w:right="670"/>
        <w:rPr>
          <w:rFonts w:ascii="Calibri" w:hAnsi="Calibri" w:cs="Calibri"/>
        </w:rPr>
      </w:pPr>
    </w:p>
    <w:p w14:paraId="2AE9F751" w14:textId="77777777" w:rsidR="004726FB" w:rsidRPr="00623181" w:rsidRDefault="004726FB" w:rsidP="00623181">
      <w:pPr>
        <w:pStyle w:val="BodyText"/>
        <w:numPr>
          <w:ilvl w:val="0"/>
          <w:numId w:val="15"/>
        </w:numPr>
        <w:ind w:right="670"/>
        <w:rPr>
          <w:rFonts w:ascii="Calibri" w:hAnsi="Calibri" w:cs="Calibri"/>
        </w:rPr>
      </w:pPr>
      <w:r w:rsidRPr="00623181">
        <w:rPr>
          <w:rFonts w:ascii="Calibri" w:hAnsi="Calibri" w:cs="Calibri"/>
        </w:rPr>
        <w:t xml:space="preserve">System uses </w:t>
      </w:r>
      <w:r w:rsidR="007A5ED5" w:rsidRPr="00623181">
        <w:rPr>
          <w:rFonts w:ascii="Calibri" w:hAnsi="Calibri" w:cs="Calibri"/>
        </w:rPr>
        <w:t xml:space="preserve">AES 256 Encryption. </w:t>
      </w:r>
    </w:p>
    <w:p w14:paraId="5C2078E5" w14:textId="4A4A0462" w:rsidR="004726FB" w:rsidRPr="00623181" w:rsidRDefault="007A5ED5" w:rsidP="00623181">
      <w:pPr>
        <w:pStyle w:val="BodyText"/>
        <w:numPr>
          <w:ilvl w:val="0"/>
          <w:numId w:val="15"/>
        </w:numPr>
        <w:ind w:right="670"/>
        <w:rPr>
          <w:rFonts w:ascii="Calibri" w:hAnsi="Calibri" w:cs="Calibri"/>
        </w:rPr>
      </w:pPr>
      <w:r w:rsidRPr="00623181">
        <w:rPr>
          <w:rFonts w:ascii="Calibri" w:hAnsi="Calibri" w:cs="Calibri"/>
        </w:rPr>
        <w:t xml:space="preserve">To use the system, </w:t>
      </w:r>
      <w:r w:rsidR="004726FB" w:rsidRPr="00623181">
        <w:rPr>
          <w:rFonts w:ascii="Calibri" w:hAnsi="Calibri" w:cs="Calibri"/>
        </w:rPr>
        <w:t>clinicians</w:t>
      </w:r>
      <w:r w:rsidRPr="00623181">
        <w:rPr>
          <w:rFonts w:ascii="Calibri" w:hAnsi="Calibri" w:cs="Calibri"/>
        </w:rPr>
        <w:t xml:space="preserve"> need to authenticate accounts. Clinic.co and GoodSAM hold ISO 27001</w:t>
      </w:r>
      <w:r w:rsidR="004726FB" w:rsidRPr="00623181">
        <w:rPr>
          <w:rFonts w:ascii="Calibri" w:hAnsi="Calibri" w:cs="Calibri"/>
        </w:rPr>
        <w:t xml:space="preserve"> and ISO9001.</w:t>
      </w:r>
    </w:p>
    <w:p w14:paraId="64A93AAE" w14:textId="5BCFD878" w:rsidR="007A5ED5" w:rsidRPr="00623181" w:rsidRDefault="004726FB" w:rsidP="00623181">
      <w:pPr>
        <w:pStyle w:val="BodyText"/>
        <w:numPr>
          <w:ilvl w:val="0"/>
          <w:numId w:val="15"/>
        </w:numPr>
        <w:ind w:right="670"/>
        <w:rPr>
          <w:rFonts w:ascii="Calibri" w:hAnsi="Calibri" w:cs="Calibri"/>
        </w:rPr>
      </w:pPr>
      <w:r w:rsidRPr="00623181">
        <w:rPr>
          <w:rFonts w:ascii="Calibri" w:hAnsi="Calibri" w:cs="Calibri"/>
        </w:rPr>
        <w:t xml:space="preserve">HIPPA and GDPR compliant. </w:t>
      </w:r>
    </w:p>
    <w:p w14:paraId="4FB05440" w14:textId="2E793A7F" w:rsidR="00623181" w:rsidRPr="00623181" w:rsidRDefault="00623181" w:rsidP="00623181">
      <w:pPr>
        <w:pStyle w:val="BodyText"/>
        <w:numPr>
          <w:ilvl w:val="0"/>
          <w:numId w:val="15"/>
        </w:numPr>
        <w:ind w:right="670"/>
        <w:rPr>
          <w:rFonts w:ascii="Calibri" w:hAnsi="Calibri" w:cs="Calibri"/>
        </w:rPr>
      </w:pPr>
      <w:r w:rsidRPr="00623181">
        <w:rPr>
          <w:rFonts w:ascii="Calibri" w:hAnsi="Calibri" w:cs="Calibri"/>
        </w:rPr>
        <w:t xml:space="preserve">Meets </w:t>
      </w:r>
      <w:r w:rsidRPr="00623181">
        <w:rPr>
          <w:rFonts w:ascii="Calibri" w:eastAsia="Times New Roman" w:hAnsi="Calibri" w:cs="Calibri"/>
          <w:color w:val="000000" w:themeColor="text1"/>
        </w:rPr>
        <w:t>DCB0129 standard.</w:t>
      </w:r>
    </w:p>
    <w:p w14:paraId="75DDBFBA" w14:textId="2B41F3D3" w:rsidR="00623181" w:rsidRPr="00623181" w:rsidRDefault="00623181" w:rsidP="00623181">
      <w:pPr>
        <w:pStyle w:val="BodyText"/>
        <w:numPr>
          <w:ilvl w:val="0"/>
          <w:numId w:val="15"/>
        </w:numPr>
        <w:ind w:right="670"/>
        <w:rPr>
          <w:rFonts w:ascii="Calibri" w:hAnsi="Calibri" w:cs="Calibri"/>
        </w:rPr>
      </w:pPr>
      <w:r w:rsidRPr="00623181">
        <w:rPr>
          <w:rFonts w:ascii="Calibri" w:hAnsi="Calibri" w:cs="Calibri"/>
          <w:color w:val="000000" w:themeColor="text1"/>
          <w:bdr w:val="none" w:sz="0" w:space="0" w:color="auto" w:frame="1"/>
        </w:rPr>
        <w:t>We are Cyber Essential</w:t>
      </w:r>
      <w:r w:rsidRPr="00623181">
        <w:rPr>
          <w:rFonts w:ascii="Calibri" w:hAnsi="Calibri" w:cs="Calibri"/>
        </w:rPr>
        <w:t>s certified.</w:t>
      </w:r>
    </w:p>
    <w:p w14:paraId="02C901CC" w14:textId="3F35CFC0" w:rsidR="00623181" w:rsidRPr="00623181" w:rsidRDefault="00623181" w:rsidP="00623181">
      <w:pPr>
        <w:pStyle w:val="BodyText"/>
        <w:numPr>
          <w:ilvl w:val="0"/>
          <w:numId w:val="15"/>
        </w:numPr>
        <w:ind w:right="670"/>
        <w:rPr>
          <w:rFonts w:ascii="Calibri" w:hAnsi="Calibri" w:cs="Calibri"/>
        </w:rPr>
      </w:pPr>
      <w:r w:rsidRPr="00623181">
        <w:rPr>
          <w:rFonts w:ascii="Calibri" w:hAnsi="Calibri" w:cs="Calibri"/>
          <w:color w:val="000000" w:themeColor="text1"/>
          <w:bdr w:val="none" w:sz="0" w:space="0" w:color="auto" w:frame="1"/>
        </w:rPr>
        <w:t>Compliant with the NHS Data and Security Information Toolkit</w:t>
      </w:r>
    </w:p>
    <w:p w14:paraId="73FCF05E" w14:textId="77777777" w:rsidR="00623181" w:rsidRPr="00623181" w:rsidRDefault="00623181" w:rsidP="00623181">
      <w:pPr>
        <w:pStyle w:val="ListParagraph"/>
        <w:numPr>
          <w:ilvl w:val="0"/>
          <w:numId w:val="15"/>
        </w:numPr>
        <w:spacing w:before="100" w:beforeAutospacing="1" w:after="100" w:afterAutospacing="1"/>
        <w:rPr>
          <w:rFonts w:ascii="Calibri" w:hAnsi="Calibri" w:cs="Calibri"/>
        </w:rPr>
      </w:pPr>
      <w:r w:rsidRPr="00623181">
        <w:rPr>
          <w:rFonts w:ascii="Calibri" w:hAnsi="Calibri" w:cs="Calibri"/>
        </w:rPr>
        <w:t xml:space="preserve">Clinic.co uses SSL / TLS 1.2 </w:t>
      </w:r>
    </w:p>
    <w:p w14:paraId="3F9A7F26" w14:textId="6F899B8E" w:rsidR="00B934B4" w:rsidRPr="00623181" w:rsidRDefault="00623181" w:rsidP="00623181">
      <w:pPr>
        <w:pStyle w:val="ListParagraph"/>
        <w:numPr>
          <w:ilvl w:val="0"/>
          <w:numId w:val="15"/>
        </w:numPr>
        <w:spacing w:before="100" w:beforeAutospacing="1" w:after="100" w:afterAutospacing="1"/>
        <w:rPr>
          <w:rFonts w:ascii="Calibri" w:hAnsi="Calibri" w:cs="Calibri"/>
        </w:rPr>
      </w:pPr>
      <w:r w:rsidRPr="00623181">
        <w:rPr>
          <w:rFonts w:ascii="Calibri" w:hAnsi="Calibri" w:cs="Calibri"/>
        </w:rPr>
        <w:t xml:space="preserve">All our services adhering to WCAG2.1 Guidelines for accessibility </w:t>
      </w:r>
    </w:p>
    <w:p w14:paraId="7197CCFE" w14:textId="48763762" w:rsidR="00B934B4" w:rsidRPr="00623181" w:rsidRDefault="00F16FE1" w:rsidP="007A5ED5">
      <w:pPr>
        <w:pStyle w:val="BodyText"/>
        <w:ind w:right="670"/>
        <w:rPr>
          <w:rFonts w:ascii="Calibri" w:hAnsi="Calibri" w:cs="Calibri"/>
          <w:b/>
          <w:bCs/>
        </w:rPr>
      </w:pPr>
      <w:r w:rsidRPr="00623181">
        <w:rPr>
          <w:rFonts w:ascii="Calibri" w:hAnsi="Calibri" w:cs="Calibri"/>
          <w:b/>
          <w:bCs/>
        </w:rPr>
        <w:t>7</w:t>
      </w:r>
      <w:r w:rsidR="00B934B4" w:rsidRPr="00623181">
        <w:rPr>
          <w:rFonts w:ascii="Calibri" w:hAnsi="Calibri" w:cs="Calibri"/>
          <w:b/>
          <w:bCs/>
        </w:rPr>
        <w:t xml:space="preserve">. Necessity and proportionality </w:t>
      </w:r>
    </w:p>
    <w:p w14:paraId="45B4F190" w14:textId="77777777" w:rsidR="00B934B4" w:rsidRPr="00623181" w:rsidRDefault="00B934B4" w:rsidP="00B934B4">
      <w:pPr>
        <w:pStyle w:val="BodyText"/>
        <w:ind w:right="323"/>
        <w:rPr>
          <w:rFonts w:ascii="Calibri" w:hAnsi="Calibri" w:cs="Calibri"/>
        </w:rPr>
      </w:pPr>
    </w:p>
    <w:p w14:paraId="6E7892E1" w14:textId="49A40019" w:rsidR="00B934B4" w:rsidRPr="00623181" w:rsidRDefault="00B934B4" w:rsidP="00B934B4">
      <w:pPr>
        <w:pStyle w:val="BodyText"/>
        <w:ind w:right="323"/>
        <w:rPr>
          <w:rFonts w:ascii="Calibri" w:hAnsi="Calibri" w:cs="Calibri"/>
        </w:rPr>
      </w:pPr>
      <w:r w:rsidRPr="00623181">
        <w:rPr>
          <w:rFonts w:ascii="Calibri" w:hAnsi="Calibri" w:cs="Calibri"/>
        </w:rPr>
        <w:t xml:space="preserve">The lawful basis for processing is Article 6(1)(e) GDPR and Article 9(2)(h) GDPR, read with Schedule 1 paragraph 2 of the Data Protection Act 2018. </w:t>
      </w:r>
    </w:p>
    <w:p w14:paraId="33A4904E" w14:textId="4B40D647" w:rsidR="00B934B4" w:rsidRPr="00623181" w:rsidRDefault="00B934B4" w:rsidP="00B934B4">
      <w:pPr>
        <w:pStyle w:val="BodyText"/>
        <w:ind w:right="323"/>
        <w:rPr>
          <w:rFonts w:ascii="Calibri" w:hAnsi="Calibri" w:cs="Calibri"/>
        </w:rPr>
      </w:pPr>
    </w:p>
    <w:p w14:paraId="4722FE03" w14:textId="096BE4CF" w:rsidR="00805B54" w:rsidRPr="00623181" w:rsidRDefault="00B934B4" w:rsidP="00805B54">
      <w:pPr>
        <w:pStyle w:val="BodyText"/>
        <w:ind w:right="323"/>
        <w:rPr>
          <w:rFonts w:ascii="Calibri" w:hAnsi="Calibri" w:cs="Calibri"/>
        </w:rPr>
      </w:pPr>
      <w:r w:rsidRPr="00623181">
        <w:rPr>
          <w:rFonts w:ascii="Calibri" w:hAnsi="Calibri" w:cs="Calibri"/>
        </w:rPr>
        <w:t xml:space="preserve">Clinic.co provides an effective solution to improve care. </w:t>
      </w:r>
      <w:r w:rsidR="00805B54" w:rsidRPr="00623181">
        <w:rPr>
          <w:rFonts w:ascii="Calibri" w:hAnsi="Calibri" w:cs="Calibri"/>
        </w:rPr>
        <w:t xml:space="preserve">Other solutions (non-video) would not provide comparable quality of information to assess / treat patients.  In the context, achieving the same outcome through non-video means is not possible. </w:t>
      </w:r>
    </w:p>
    <w:p w14:paraId="0B359765" w14:textId="21FDBF06" w:rsidR="00805B54" w:rsidRPr="00623181" w:rsidRDefault="00805B54" w:rsidP="00805B54">
      <w:pPr>
        <w:pStyle w:val="BodyText"/>
        <w:ind w:right="323"/>
        <w:rPr>
          <w:rFonts w:ascii="Calibri" w:hAnsi="Calibri" w:cs="Calibri"/>
        </w:rPr>
      </w:pPr>
    </w:p>
    <w:p w14:paraId="04397967" w14:textId="77777777" w:rsidR="00805B54" w:rsidRPr="00623181" w:rsidRDefault="00805B54" w:rsidP="00805B54">
      <w:pPr>
        <w:pStyle w:val="BodyText"/>
        <w:ind w:right="323"/>
        <w:rPr>
          <w:rFonts w:ascii="Calibri" w:hAnsi="Calibri" w:cs="Calibri"/>
        </w:rPr>
      </w:pPr>
      <w:r w:rsidRPr="00623181">
        <w:rPr>
          <w:rFonts w:ascii="Calibri" w:hAnsi="Calibri" w:cs="Calibri"/>
        </w:rPr>
        <w:t xml:space="preserve">Clinic.co provides flexibility to clinicians in terms of proportionality of data collection – video can be stored (in-house or with clinic.co) or live streamed. </w:t>
      </w:r>
    </w:p>
    <w:p w14:paraId="3DBD2A32" w14:textId="35227493" w:rsidR="00805B54" w:rsidRPr="00623181" w:rsidRDefault="00805B54" w:rsidP="00805B54">
      <w:pPr>
        <w:pStyle w:val="BodyText"/>
        <w:ind w:right="323"/>
        <w:rPr>
          <w:rFonts w:ascii="Calibri" w:hAnsi="Calibri" w:cs="Calibri"/>
        </w:rPr>
      </w:pPr>
      <w:r w:rsidRPr="00623181">
        <w:rPr>
          <w:rFonts w:ascii="Calibri" w:hAnsi="Calibri" w:cs="Calibri"/>
        </w:rPr>
        <w:t xml:space="preserve"> </w:t>
      </w:r>
    </w:p>
    <w:p w14:paraId="702B1176" w14:textId="3D45A737" w:rsidR="00805B54" w:rsidRPr="00623181" w:rsidRDefault="00F16FE1" w:rsidP="00805B54">
      <w:pPr>
        <w:pStyle w:val="BodyText"/>
        <w:ind w:right="323"/>
        <w:rPr>
          <w:rFonts w:ascii="Calibri" w:hAnsi="Calibri" w:cs="Calibri"/>
          <w:b/>
          <w:bCs/>
        </w:rPr>
      </w:pPr>
      <w:r w:rsidRPr="00623181">
        <w:rPr>
          <w:rFonts w:ascii="Calibri" w:hAnsi="Calibri" w:cs="Calibri"/>
          <w:b/>
          <w:bCs/>
        </w:rPr>
        <w:t>8</w:t>
      </w:r>
      <w:r w:rsidR="00805B54" w:rsidRPr="00623181">
        <w:rPr>
          <w:rFonts w:ascii="Calibri" w:hAnsi="Calibri" w:cs="Calibri"/>
          <w:b/>
          <w:bCs/>
        </w:rPr>
        <w:t xml:space="preserve">. Data minimisation </w:t>
      </w:r>
    </w:p>
    <w:p w14:paraId="264B618F" w14:textId="77777777" w:rsidR="00B934B4" w:rsidRPr="00623181" w:rsidRDefault="00B934B4" w:rsidP="00805B54">
      <w:pPr>
        <w:pStyle w:val="BodyText"/>
        <w:ind w:right="323"/>
        <w:rPr>
          <w:rFonts w:ascii="Calibri" w:hAnsi="Calibri" w:cs="Calibri"/>
        </w:rPr>
      </w:pPr>
    </w:p>
    <w:p w14:paraId="34EA82FE" w14:textId="49D9F600" w:rsidR="00B934B4" w:rsidRPr="00623181" w:rsidRDefault="00B934B4" w:rsidP="00805B54">
      <w:pPr>
        <w:pStyle w:val="BodyText"/>
        <w:ind w:right="323"/>
        <w:rPr>
          <w:rFonts w:ascii="Calibri" w:hAnsi="Calibri" w:cs="Calibri"/>
        </w:rPr>
      </w:pPr>
      <w:r w:rsidRPr="00623181">
        <w:rPr>
          <w:rFonts w:ascii="Calibri" w:hAnsi="Calibri" w:cs="Calibri"/>
        </w:rPr>
        <w:t xml:space="preserve">Data minimisation will occur because </w:t>
      </w:r>
      <w:r w:rsidR="00805B54" w:rsidRPr="00623181">
        <w:rPr>
          <w:rFonts w:ascii="Calibri" w:hAnsi="Calibri" w:cs="Calibri"/>
        </w:rPr>
        <w:t xml:space="preserve">clinic.co does not, as standard, </w:t>
      </w:r>
      <w:r w:rsidRPr="00623181">
        <w:rPr>
          <w:rFonts w:ascii="Calibri" w:hAnsi="Calibri" w:cs="Calibri"/>
        </w:rPr>
        <w:t xml:space="preserve">retain footage from the video consultations. </w:t>
      </w:r>
      <w:r w:rsidR="00805B54" w:rsidRPr="00623181">
        <w:rPr>
          <w:rFonts w:ascii="Calibri" w:hAnsi="Calibri" w:cs="Calibri"/>
        </w:rPr>
        <w:t xml:space="preserve">Video consultations can be deleted directly from </w:t>
      </w:r>
      <w:proofErr w:type="spellStart"/>
      <w:r w:rsidR="00805B54" w:rsidRPr="00623181">
        <w:rPr>
          <w:rFonts w:ascii="Calibri" w:hAnsi="Calibri" w:cs="Calibri"/>
        </w:rPr>
        <w:t>th</w:t>
      </w:r>
      <w:proofErr w:type="spellEnd"/>
      <w:r w:rsidR="00805B54" w:rsidRPr="00623181">
        <w:rPr>
          <w:rFonts w:ascii="Calibri" w:hAnsi="Calibri" w:cs="Calibri"/>
        </w:rPr>
        <w:t xml:space="preserve"> system when required. </w:t>
      </w:r>
    </w:p>
    <w:p w14:paraId="49BF464D" w14:textId="49F8CBD1" w:rsidR="00805B54" w:rsidRPr="00623181" w:rsidRDefault="00805B54" w:rsidP="00805B54">
      <w:pPr>
        <w:pStyle w:val="BodyText"/>
        <w:ind w:right="323"/>
        <w:rPr>
          <w:rFonts w:ascii="Calibri" w:hAnsi="Calibri" w:cs="Calibri"/>
        </w:rPr>
      </w:pPr>
    </w:p>
    <w:p w14:paraId="528AC471" w14:textId="36402CAF" w:rsidR="00805B54" w:rsidRPr="00623181" w:rsidRDefault="00F16FE1" w:rsidP="00805B54">
      <w:pPr>
        <w:pStyle w:val="BodyText"/>
        <w:ind w:right="323"/>
        <w:rPr>
          <w:rFonts w:ascii="Calibri" w:hAnsi="Calibri" w:cs="Calibri"/>
          <w:b/>
          <w:bCs/>
        </w:rPr>
      </w:pPr>
      <w:r w:rsidRPr="00623181">
        <w:rPr>
          <w:rFonts w:ascii="Calibri" w:hAnsi="Calibri" w:cs="Calibri"/>
          <w:b/>
          <w:bCs/>
        </w:rPr>
        <w:lastRenderedPageBreak/>
        <w:t>9</w:t>
      </w:r>
      <w:r w:rsidR="00805B54" w:rsidRPr="00623181">
        <w:rPr>
          <w:rFonts w:ascii="Calibri" w:hAnsi="Calibri" w:cs="Calibri"/>
          <w:b/>
          <w:bCs/>
        </w:rPr>
        <w:t>. Cross border data flows</w:t>
      </w:r>
    </w:p>
    <w:p w14:paraId="5146697A" w14:textId="15496103" w:rsidR="00805B54" w:rsidRPr="00623181" w:rsidRDefault="00805B54" w:rsidP="00805B54">
      <w:pPr>
        <w:pStyle w:val="BodyText"/>
        <w:ind w:right="323"/>
        <w:rPr>
          <w:rFonts w:ascii="Calibri" w:hAnsi="Calibri" w:cs="Calibri"/>
        </w:rPr>
      </w:pPr>
    </w:p>
    <w:p w14:paraId="31B6B28E" w14:textId="0C420B77" w:rsidR="00F16FE1" w:rsidRPr="00623181" w:rsidRDefault="00F16FE1" w:rsidP="00F16FE1">
      <w:pPr>
        <w:widowControl w:val="0"/>
        <w:spacing w:before="59"/>
        <w:outlineLvl w:val="2"/>
        <w:rPr>
          <w:rFonts w:ascii="Calibri" w:eastAsia="Verdana" w:hAnsi="Calibri" w:cs="Calibri"/>
          <w:spacing w:val="-1"/>
        </w:rPr>
      </w:pPr>
      <w:r w:rsidRPr="00623181">
        <w:rPr>
          <w:rFonts w:ascii="Calibri" w:eastAsia="Verdana" w:hAnsi="Calibri" w:cs="Calibri"/>
          <w:spacing w:val="-1"/>
        </w:rPr>
        <w:t xml:space="preserve">The Clinic.co AWS Server is in the UK and so video (data) will not leave the UK.  </w:t>
      </w:r>
    </w:p>
    <w:p w14:paraId="4AD053C7" w14:textId="352AD5AE" w:rsidR="00805B54" w:rsidRPr="004726FB" w:rsidRDefault="00805B54" w:rsidP="00805B54">
      <w:pPr>
        <w:pStyle w:val="BodyText"/>
        <w:ind w:right="323"/>
        <w:rPr>
          <w:rFonts w:ascii="Calibri" w:hAnsi="Calibri" w:cs="Calibri"/>
        </w:rPr>
      </w:pPr>
    </w:p>
    <w:p w14:paraId="535F4B55" w14:textId="57994890" w:rsidR="00B934B4" w:rsidRPr="00F16FE1" w:rsidRDefault="00F16FE1" w:rsidP="007A5ED5">
      <w:pPr>
        <w:pStyle w:val="BodyText"/>
        <w:ind w:right="670"/>
        <w:rPr>
          <w:rFonts w:ascii="Calibri" w:hAnsi="Calibri" w:cs="Calibri"/>
          <w:b/>
          <w:bCs/>
        </w:rPr>
      </w:pPr>
      <w:r w:rsidRPr="00F16FE1">
        <w:rPr>
          <w:rFonts w:ascii="Calibri" w:hAnsi="Calibri" w:cs="Calibri"/>
          <w:b/>
          <w:bCs/>
        </w:rPr>
        <w:t>10</w:t>
      </w:r>
      <w:r w:rsidR="00805B54" w:rsidRPr="00F16FE1">
        <w:rPr>
          <w:rFonts w:ascii="Calibri" w:hAnsi="Calibri" w:cs="Calibri"/>
          <w:b/>
          <w:bCs/>
        </w:rPr>
        <w:t xml:space="preserve">. Review of GDPR Risks </w:t>
      </w:r>
    </w:p>
    <w:p w14:paraId="458FF96B" w14:textId="3F605397" w:rsidR="00805B54" w:rsidRPr="004726FB" w:rsidRDefault="00805B54" w:rsidP="007A5ED5">
      <w:pPr>
        <w:pStyle w:val="BodyText"/>
        <w:ind w:right="670"/>
        <w:rPr>
          <w:rFonts w:ascii="Calibri" w:hAnsi="Calibri" w:cs="Calibri"/>
        </w:rPr>
      </w:pPr>
    </w:p>
    <w:tbl>
      <w:tblPr>
        <w:tblStyle w:val="TableGrid"/>
        <w:tblW w:w="9634" w:type="dxa"/>
        <w:tblLayout w:type="fixed"/>
        <w:tblLook w:val="04A0" w:firstRow="1" w:lastRow="0" w:firstColumn="1" w:lastColumn="0" w:noHBand="0" w:noVBand="1"/>
      </w:tblPr>
      <w:tblGrid>
        <w:gridCol w:w="2539"/>
        <w:gridCol w:w="2985"/>
        <w:gridCol w:w="1417"/>
        <w:gridCol w:w="1418"/>
        <w:gridCol w:w="1275"/>
      </w:tblGrid>
      <w:tr w:rsidR="00CF412E" w:rsidRPr="004726FB" w14:paraId="775F04F6" w14:textId="449BC04A" w:rsidTr="006860E5">
        <w:tc>
          <w:tcPr>
            <w:tcW w:w="2539" w:type="dxa"/>
            <w:shd w:val="clear" w:color="auto" w:fill="8EAADB" w:themeFill="accent1" w:themeFillTint="99"/>
          </w:tcPr>
          <w:p w14:paraId="6C3F4492" w14:textId="5A3BDAD2" w:rsidR="0069083A" w:rsidRPr="004726FB" w:rsidRDefault="0069083A" w:rsidP="0069083A">
            <w:pPr>
              <w:pStyle w:val="BodyText"/>
              <w:ind w:right="670"/>
              <w:rPr>
                <w:rFonts w:ascii="Calibri" w:hAnsi="Calibri" w:cs="Calibri"/>
                <w:b/>
                <w:bCs/>
                <w:sz w:val="18"/>
                <w:szCs w:val="18"/>
              </w:rPr>
            </w:pPr>
            <w:r w:rsidRPr="004726FB">
              <w:rPr>
                <w:rFonts w:ascii="Calibri" w:hAnsi="Calibri" w:cs="Calibri"/>
                <w:b/>
                <w:bCs/>
                <w:sz w:val="18"/>
                <w:szCs w:val="18"/>
              </w:rPr>
              <w:t xml:space="preserve">Source of Risk </w:t>
            </w:r>
          </w:p>
        </w:tc>
        <w:tc>
          <w:tcPr>
            <w:tcW w:w="2985" w:type="dxa"/>
            <w:shd w:val="clear" w:color="auto" w:fill="8EAADB" w:themeFill="accent1" w:themeFillTint="99"/>
          </w:tcPr>
          <w:p w14:paraId="752C5DCC" w14:textId="3977516B" w:rsidR="0069083A" w:rsidRPr="004726FB" w:rsidRDefault="0069083A" w:rsidP="0069083A">
            <w:pPr>
              <w:pStyle w:val="BodyText"/>
              <w:ind w:right="670"/>
              <w:rPr>
                <w:rFonts w:ascii="Calibri" w:hAnsi="Calibri" w:cs="Calibri"/>
                <w:b/>
                <w:bCs/>
                <w:sz w:val="18"/>
                <w:szCs w:val="18"/>
              </w:rPr>
            </w:pPr>
            <w:r w:rsidRPr="004726FB">
              <w:rPr>
                <w:rFonts w:ascii="Calibri" w:hAnsi="Calibri" w:cs="Calibri"/>
                <w:b/>
                <w:bCs/>
                <w:sz w:val="18"/>
                <w:szCs w:val="18"/>
              </w:rPr>
              <w:t xml:space="preserve">Control Measure </w:t>
            </w:r>
          </w:p>
        </w:tc>
        <w:tc>
          <w:tcPr>
            <w:tcW w:w="1417" w:type="dxa"/>
            <w:shd w:val="clear" w:color="auto" w:fill="8EAADB" w:themeFill="accent1" w:themeFillTint="99"/>
          </w:tcPr>
          <w:p w14:paraId="6A408F6A" w14:textId="0CAA71F9" w:rsidR="0069083A" w:rsidRPr="004726FB" w:rsidRDefault="00CF412E" w:rsidP="0069083A">
            <w:pPr>
              <w:pStyle w:val="BodyText"/>
              <w:ind w:right="670"/>
              <w:rPr>
                <w:rFonts w:ascii="Calibri" w:hAnsi="Calibri" w:cs="Calibri"/>
                <w:b/>
                <w:bCs/>
                <w:sz w:val="18"/>
                <w:szCs w:val="18"/>
              </w:rPr>
            </w:pPr>
            <w:r w:rsidRPr="004726FB">
              <w:rPr>
                <w:rFonts w:ascii="Calibri" w:hAnsi="Calibri" w:cs="Calibri"/>
                <w:b/>
                <w:bCs/>
                <w:sz w:val="18"/>
                <w:szCs w:val="18"/>
              </w:rPr>
              <w:t>Likelihood of harm</w:t>
            </w:r>
          </w:p>
        </w:tc>
        <w:tc>
          <w:tcPr>
            <w:tcW w:w="1418" w:type="dxa"/>
            <w:shd w:val="clear" w:color="auto" w:fill="8EAADB" w:themeFill="accent1" w:themeFillTint="99"/>
          </w:tcPr>
          <w:p w14:paraId="729B1820" w14:textId="5968419C" w:rsidR="0069083A" w:rsidRPr="004726FB" w:rsidRDefault="00CF412E" w:rsidP="0069083A">
            <w:pPr>
              <w:pStyle w:val="BodyText"/>
              <w:ind w:right="670"/>
              <w:rPr>
                <w:rFonts w:ascii="Calibri" w:hAnsi="Calibri" w:cs="Calibri"/>
                <w:b/>
                <w:bCs/>
                <w:sz w:val="18"/>
                <w:szCs w:val="18"/>
              </w:rPr>
            </w:pPr>
            <w:r w:rsidRPr="004726FB">
              <w:rPr>
                <w:rFonts w:ascii="Calibri" w:hAnsi="Calibri" w:cs="Calibri"/>
                <w:b/>
                <w:bCs/>
                <w:sz w:val="18"/>
                <w:szCs w:val="18"/>
              </w:rPr>
              <w:t>Severity of Harm</w:t>
            </w:r>
          </w:p>
        </w:tc>
        <w:tc>
          <w:tcPr>
            <w:tcW w:w="1275" w:type="dxa"/>
            <w:shd w:val="clear" w:color="auto" w:fill="8EAADB" w:themeFill="accent1" w:themeFillTint="99"/>
          </w:tcPr>
          <w:p w14:paraId="262CA9FB" w14:textId="63E93D1F" w:rsidR="0069083A" w:rsidRPr="004726FB" w:rsidRDefault="00CF412E" w:rsidP="0069083A">
            <w:pPr>
              <w:pStyle w:val="BodyText"/>
              <w:ind w:right="670"/>
              <w:rPr>
                <w:rFonts w:ascii="Calibri" w:hAnsi="Calibri" w:cs="Calibri"/>
                <w:b/>
                <w:bCs/>
                <w:sz w:val="18"/>
                <w:szCs w:val="18"/>
              </w:rPr>
            </w:pPr>
            <w:r w:rsidRPr="004726FB">
              <w:rPr>
                <w:rFonts w:ascii="Calibri" w:hAnsi="Calibri" w:cs="Calibri"/>
                <w:b/>
                <w:bCs/>
                <w:sz w:val="18"/>
                <w:szCs w:val="18"/>
              </w:rPr>
              <w:t>Overall Risk</w:t>
            </w:r>
          </w:p>
        </w:tc>
      </w:tr>
      <w:tr w:rsidR="00CF412E" w:rsidRPr="004726FB" w14:paraId="28C12195" w14:textId="1A81C685" w:rsidTr="006860E5">
        <w:tc>
          <w:tcPr>
            <w:tcW w:w="2539" w:type="dxa"/>
          </w:tcPr>
          <w:p w14:paraId="134E4D3A" w14:textId="4659C494" w:rsidR="0069083A" w:rsidRPr="004726FB" w:rsidRDefault="0069083A" w:rsidP="00CF412E">
            <w:pPr>
              <w:pStyle w:val="TableParagraph"/>
              <w:ind w:left="0"/>
              <w:rPr>
                <w:rFonts w:ascii="Calibri" w:hAnsi="Calibri" w:cs="Calibri"/>
                <w:sz w:val="18"/>
                <w:szCs w:val="18"/>
              </w:rPr>
            </w:pPr>
            <w:r w:rsidRPr="004726FB">
              <w:rPr>
                <w:rFonts w:ascii="Calibri" w:hAnsi="Calibri" w:cs="Calibri"/>
                <w:sz w:val="18"/>
                <w:szCs w:val="18"/>
              </w:rPr>
              <w:t xml:space="preserve">The filming may lead to sensitive images (e.g. of an individual in pain/of injuries) being obtained, which is intrusive to the patient’s privacy. </w:t>
            </w:r>
          </w:p>
        </w:tc>
        <w:tc>
          <w:tcPr>
            <w:tcW w:w="2985" w:type="dxa"/>
          </w:tcPr>
          <w:p w14:paraId="13D20C80" w14:textId="5375217A" w:rsidR="0069083A" w:rsidRPr="004726FB" w:rsidRDefault="0069083A" w:rsidP="0069083A">
            <w:pPr>
              <w:rPr>
                <w:rFonts w:ascii="Calibri" w:hAnsi="Calibri" w:cs="Calibri"/>
                <w:sz w:val="18"/>
                <w:szCs w:val="18"/>
              </w:rPr>
            </w:pPr>
            <w:r w:rsidRPr="004726FB">
              <w:rPr>
                <w:rFonts w:ascii="Calibri" w:hAnsi="Calibri" w:cs="Calibri"/>
                <w:sz w:val="18"/>
                <w:szCs w:val="18"/>
              </w:rPr>
              <w:t>Used in controlled clinical environment (restricted area and only staffed by individuals who owe contractual and/or professional obligations of confidence)</w:t>
            </w:r>
          </w:p>
        </w:tc>
        <w:tc>
          <w:tcPr>
            <w:tcW w:w="1417" w:type="dxa"/>
            <w:shd w:val="clear" w:color="auto" w:fill="92D050"/>
          </w:tcPr>
          <w:p w14:paraId="02143FB8" w14:textId="64770F21" w:rsidR="0069083A" w:rsidRPr="004726FB" w:rsidRDefault="004726FB" w:rsidP="0069083A">
            <w:pPr>
              <w:rPr>
                <w:rFonts w:ascii="Calibri" w:hAnsi="Calibri" w:cs="Calibri"/>
                <w:sz w:val="18"/>
                <w:szCs w:val="18"/>
              </w:rPr>
            </w:pPr>
            <w:r w:rsidRPr="004726FB">
              <w:rPr>
                <w:rFonts w:ascii="Calibri" w:hAnsi="Calibri" w:cs="Calibri"/>
                <w:sz w:val="18"/>
                <w:szCs w:val="18"/>
              </w:rPr>
              <w:t>Low</w:t>
            </w:r>
          </w:p>
        </w:tc>
        <w:tc>
          <w:tcPr>
            <w:tcW w:w="1418" w:type="dxa"/>
            <w:shd w:val="clear" w:color="auto" w:fill="92D050"/>
          </w:tcPr>
          <w:p w14:paraId="795A2CBA" w14:textId="2BB1A18F" w:rsidR="0069083A" w:rsidRPr="004726FB" w:rsidRDefault="004726FB" w:rsidP="0069083A">
            <w:pPr>
              <w:rPr>
                <w:rFonts w:ascii="Calibri" w:hAnsi="Calibri" w:cs="Calibri"/>
                <w:sz w:val="18"/>
                <w:szCs w:val="18"/>
              </w:rPr>
            </w:pPr>
            <w:r w:rsidRPr="004726FB">
              <w:rPr>
                <w:rFonts w:ascii="Calibri" w:hAnsi="Calibri" w:cs="Calibri"/>
                <w:sz w:val="18"/>
                <w:szCs w:val="18"/>
              </w:rPr>
              <w:t>Low</w:t>
            </w:r>
          </w:p>
        </w:tc>
        <w:tc>
          <w:tcPr>
            <w:tcW w:w="1275" w:type="dxa"/>
            <w:shd w:val="clear" w:color="auto" w:fill="92D050"/>
          </w:tcPr>
          <w:p w14:paraId="7FA9A8F7" w14:textId="6368CA30" w:rsidR="0069083A" w:rsidRPr="004726FB" w:rsidRDefault="00CF412E" w:rsidP="0069083A">
            <w:pPr>
              <w:rPr>
                <w:rFonts w:ascii="Calibri" w:hAnsi="Calibri" w:cs="Calibri"/>
                <w:sz w:val="18"/>
                <w:szCs w:val="18"/>
              </w:rPr>
            </w:pPr>
            <w:r w:rsidRPr="004726FB">
              <w:rPr>
                <w:rFonts w:ascii="Calibri" w:hAnsi="Calibri" w:cs="Calibri"/>
                <w:sz w:val="18"/>
                <w:szCs w:val="18"/>
              </w:rPr>
              <w:t>Low</w:t>
            </w:r>
          </w:p>
        </w:tc>
      </w:tr>
      <w:tr w:rsidR="00CF412E" w:rsidRPr="004726FB" w14:paraId="3F107EFF" w14:textId="2AC404F7" w:rsidTr="006860E5">
        <w:tc>
          <w:tcPr>
            <w:tcW w:w="2539" w:type="dxa"/>
          </w:tcPr>
          <w:p w14:paraId="58DD9D31" w14:textId="77777777" w:rsidR="00CF412E" w:rsidRPr="004726FB" w:rsidRDefault="00CF412E" w:rsidP="00CF412E">
            <w:pPr>
              <w:pStyle w:val="TableParagraph"/>
              <w:ind w:left="0"/>
              <w:rPr>
                <w:rFonts w:ascii="Calibri" w:hAnsi="Calibri" w:cs="Calibri"/>
                <w:sz w:val="18"/>
                <w:szCs w:val="18"/>
              </w:rPr>
            </w:pPr>
            <w:r w:rsidRPr="004726FB">
              <w:rPr>
                <w:rFonts w:ascii="Calibri" w:hAnsi="Calibri" w:cs="Calibri"/>
                <w:sz w:val="18"/>
                <w:szCs w:val="18"/>
              </w:rPr>
              <w:t>Data is leaked through the provider of the service.</w:t>
            </w:r>
          </w:p>
          <w:p w14:paraId="143229B2" w14:textId="77777777" w:rsidR="0069083A" w:rsidRPr="004726FB" w:rsidRDefault="0069083A" w:rsidP="00CF412E">
            <w:pPr>
              <w:pStyle w:val="TableParagraph"/>
              <w:rPr>
                <w:rFonts w:ascii="Calibri" w:hAnsi="Calibri" w:cs="Calibri"/>
                <w:sz w:val="18"/>
                <w:szCs w:val="18"/>
              </w:rPr>
            </w:pPr>
          </w:p>
        </w:tc>
        <w:tc>
          <w:tcPr>
            <w:tcW w:w="2985" w:type="dxa"/>
          </w:tcPr>
          <w:p w14:paraId="0FFACE77" w14:textId="77777777" w:rsidR="0069083A" w:rsidRPr="004726FB" w:rsidRDefault="00CF412E" w:rsidP="0069083A">
            <w:pPr>
              <w:pStyle w:val="BodyText"/>
              <w:ind w:right="670"/>
              <w:rPr>
                <w:rFonts w:ascii="Calibri" w:hAnsi="Calibri" w:cs="Calibri"/>
                <w:sz w:val="18"/>
                <w:szCs w:val="18"/>
              </w:rPr>
            </w:pPr>
            <w:r w:rsidRPr="004726FB">
              <w:rPr>
                <w:rFonts w:ascii="Calibri" w:hAnsi="Calibri" w:cs="Calibri"/>
                <w:sz w:val="18"/>
                <w:szCs w:val="18"/>
              </w:rPr>
              <w:t>Data sharing agreement available, arrangements to control access to video footage/dashboard.</w:t>
            </w:r>
          </w:p>
          <w:p w14:paraId="638E2D27" w14:textId="77777777" w:rsidR="00CF412E" w:rsidRPr="004726FB" w:rsidRDefault="00CF412E" w:rsidP="0069083A">
            <w:pPr>
              <w:pStyle w:val="BodyText"/>
              <w:ind w:right="670"/>
              <w:rPr>
                <w:rFonts w:ascii="Calibri" w:hAnsi="Calibri" w:cs="Calibri"/>
                <w:sz w:val="18"/>
                <w:szCs w:val="18"/>
              </w:rPr>
            </w:pPr>
          </w:p>
          <w:p w14:paraId="33D0E0EF" w14:textId="77777777" w:rsidR="00CF412E" w:rsidRPr="004726FB" w:rsidRDefault="00CF412E" w:rsidP="0069083A">
            <w:pPr>
              <w:pStyle w:val="BodyText"/>
              <w:ind w:right="670"/>
              <w:rPr>
                <w:rFonts w:ascii="Calibri" w:hAnsi="Calibri" w:cs="Calibri"/>
                <w:sz w:val="18"/>
                <w:szCs w:val="18"/>
              </w:rPr>
            </w:pPr>
            <w:r w:rsidRPr="004726FB">
              <w:rPr>
                <w:rFonts w:ascii="Calibri" w:hAnsi="Calibri" w:cs="Calibri"/>
                <w:sz w:val="18"/>
                <w:szCs w:val="18"/>
              </w:rPr>
              <w:t xml:space="preserve">Clinic.co undertakes regular penetration testing. </w:t>
            </w:r>
          </w:p>
          <w:p w14:paraId="3653B141" w14:textId="77777777" w:rsidR="00CF412E" w:rsidRPr="004726FB" w:rsidRDefault="00CF412E" w:rsidP="0069083A">
            <w:pPr>
              <w:pStyle w:val="BodyText"/>
              <w:ind w:right="670"/>
              <w:rPr>
                <w:rFonts w:ascii="Calibri" w:hAnsi="Calibri" w:cs="Calibri"/>
                <w:sz w:val="18"/>
                <w:szCs w:val="18"/>
              </w:rPr>
            </w:pPr>
          </w:p>
          <w:p w14:paraId="1E9DFDB9" w14:textId="77777777" w:rsidR="00CF412E" w:rsidRPr="004726FB" w:rsidRDefault="00CF412E" w:rsidP="0069083A">
            <w:pPr>
              <w:pStyle w:val="BodyText"/>
              <w:ind w:right="670"/>
              <w:rPr>
                <w:rFonts w:ascii="Calibri" w:hAnsi="Calibri" w:cs="Calibri"/>
                <w:sz w:val="18"/>
                <w:szCs w:val="18"/>
              </w:rPr>
            </w:pPr>
            <w:r w:rsidRPr="004726FB">
              <w:rPr>
                <w:rFonts w:ascii="Calibri" w:hAnsi="Calibri" w:cs="Calibri"/>
                <w:sz w:val="18"/>
                <w:szCs w:val="18"/>
              </w:rPr>
              <w:t xml:space="preserve">Audit of videos viewed (and identity of viewer) available. </w:t>
            </w:r>
          </w:p>
          <w:p w14:paraId="6C846BC8" w14:textId="77777777" w:rsidR="004726FB" w:rsidRPr="004726FB" w:rsidRDefault="004726FB" w:rsidP="0069083A">
            <w:pPr>
              <w:pStyle w:val="BodyText"/>
              <w:ind w:right="670"/>
              <w:rPr>
                <w:rFonts w:ascii="Calibri" w:hAnsi="Calibri" w:cs="Calibri"/>
                <w:sz w:val="18"/>
                <w:szCs w:val="18"/>
              </w:rPr>
            </w:pPr>
          </w:p>
          <w:p w14:paraId="4AC5F108" w14:textId="0C710B5C" w:rsidR="004726FB" w:rsidRPr="004726FB" w:rsidRDefault="004726FB" w:rsidP="0069083A">
            <w:pPr>
              <w:pStyle w:val="BodyText"/>
              <w:ind w:right="670"/>
              <w:rPr>
                <w:rFonts w:ascii="Calibri" w:hAnsi="Calibri" w:cs="Calibri"/>
                <w:sz w:val="18"/>
                <w:szCs w:val="18"/>
              </w:rPr>
            </w:pPr>
            <w:r w:rsidRPr="004726FB">
              <w:rPr>
                <w:rFonts w:ascii="Calibri" w:hAnsi="Calibri" w:cs="Calibri"/>
                <w:sz w:val="18"/>
                <w:szCs w:val="18"/>
              </w:rPr>
              <w:t xml:space="preserve">No third </w:t>
            </w:r>
            <w:proofErr w:type="gramStart"/>
            <w:r w:rsidRPr="004726FB">
              <w:rPr>
                <w:rFonts w:ascii="Calibri" w:hAnsi="Calibri" w:cs="Calibri"/>
                <w:sz w:val="18"/>
                <w:szCs w:val="18"/>
              </w:rPr>
              <w:t>parties</w:t>
            </w:r>
            <w:proofErr w:type="gramEnd"/>
            <w:r w:rsidRPr="004726FB">
              <w:rPr>
                <w:rFonts w:ascii="Calibri" w:hAnsi="Calibri" w:cs="Calibri"/>
                <w:sz w:val="18"/>
                <w:szCs w:val="18"/>
              </w:rPr>
              <w:t xml:space="preserve"> providers used – all software coded in house. </w:t>
            </w:r>
          </w:p>
        </w:tc>
        <w:tc>
          <w:tcPr>
            <w:tcW w:w="1417" w:type="dxa"/>
            <w:shd w:val="clear" w:color="auto" w:fill="FFC000" w:themeFill="accent4"/>
          </w:tcPr>
          <w:p w14:paraId="5B7128E5" w14:textId="671346AA" w:rsidR="0069083A" w:rsidRPr="004726FB" w:rsidRDefault="00CF412E" w:rsidP="0069083A">
            <w:pPr>
              <w:pStyle w:val="BodyText"/>
              <w:ind w:right="670"/>
              <w:rPr>
                <w:rFonts w:ascii="Calibri" w:hAnsi="Calibri" w:cs="Calibri"/>
                <w:sz w:val="18"/>
                <w:szCs w:val="18"/>
              </w:rPr>
            </w:pPr>
            <w:r w:rsidRPr="004726FB">
              <w:rPr>
                <w:rFonts w:ascii="Calibri" w:hAnsi="Calibri" w:cs="Calibri"/>
                <w:sz w:val="18"/>
                <w:szCs w:val="18"/>
              </w:rPr>
              <w:t>Poss</w:t>
            </w:r>
            <w:r w:rsidR="004726FB">
              <w:rPr>
                <w:rFonts w:ascii="Calibri" w:hAnsi="Calibri" w:cs="Calibri"/>
                <w:sz w:val="18"/>
                <w:szCs w:val="18"/>
              </w:rPr>
              <w:t>ible</w:t>
            </w:r>
          </w:p>
          <w:p w14:paraId="299CCF76" w14:textId="77777777" w:rsidR="004726FB" w:rsidRPr="004726FB" w:rsidRDefault="004726FB" w:rsidP="004726FB">
            <w:pPr>
              <w:rPr>
                <w:rFonts w:ascii="Calibri" w:hAnsi="Calibri" w:cs="Calibri"/>
                <w:sz w:val="18"/>
                <w:szCs w:val="18"/>
                <w:lang w:bidi="en-GB"/>
              </w:rPr>
            </w:pPr>
          </w:p>
          <w:p w14:paraId="5AD794AC" w14:textId="77777777" w:rsidR="004726FB" w:rsidRPr="004726FB" w:rsidRDefault="004726FB" w:rsidP="004726FB">
            <w:pPr>
              <w:rPr>
                <w:rFonts w:ascii="Calibri" w:hAnsi="Calibri" w:cs="Calibri"/>
                <w:sz w:val="18"/>
                <w:szCs w:val="18"/>
                <w:lang w:bidi="en-GB"/>
              </w:rPr>
            </w:pPr>
          </w:p>
          <w:p w14:paraId="1DA77BF6" w14:textId="77777777" w:rsidR="004726FB" w:rsidRPr="004726FB" w:rsidRDefault="004726FB" w:rsidP="004726FB">
            <w:pPr>
              <w:rPr>
                <w:rFonts w:ascii="Calibri" w:hAnsi="Calibri" w:cs="Calibri"/>
                <w:sz w:val="18"/>
                <w:szCs w:val="18"/>
                <w:lang w:bidi="en-GB"/>
              </w:rPr>
            </w:pPr>
          </w:p>
          <w:p w14:paraId="0A614B21" w14:textId="1B6F7350" w:rsidR="004726FB" w:rsidRPr="004726FB" w:rsidRDefault="004726FB" w:rsidP="004726FB">
            <w:pPr>
              <w:jc w:val="center"/>
              <w:rPr>
                <w:rFonts w:ascii="Calibri" w:hAnsi="Calibri" w:cs="Calibri"/>
                <w:sz w:val="18"/>
                <w:szCs w:val="18"/>
                <w:lang w:bidi="en-GB"/>
              </w:rPr>
            </w:pPr>
          </w:p>
        </w:tc>
        <w:tc>
          <w:tcPr>
            <w:tcW w:w="1418" w:type="dxa"/>
            <w:shd w:val="clear" w:color="auto" w:fill="FF0000"/>
          </w:tcPr>
          <w:p w14:paraId="346F5A68" w14:textId="7B0B6244" w:rsidR="0069083A" w:rsidRPr="004726FB" w:rsidRDefault="00CF412E" w:rsidP="0069083A">
            <w:pPr>
              <w:pStyle w:val="BodyText"/>
              <w:ind w:right="670"/>
              <w:rPr>
                <w:rFonts w:ascii="Calibri" w:hAnsi="Calibri" w:cs="Calibri"/>
                <w:sz w:val="18"/>
                <w:szCs w:val="18"/>
              </w:rPr>
            </w:pPr>
            <w:r w:rsidRPr="004726FB">
              <w:rPr>
                <w:rFonts w:ascii="Calibri" w:hAnsi="Calibri" w:cs="Calibri"/>
                <w:sz w:val="18"/>
                <w:szCs w:val="18"/>
              </w:rPr>
              <w:t>Severe</w:t>
            </w:r>
          </w:p>
        </w:tc>
        <w:tc>
          <w:tcPr>
            <w:tcW w:w="1275" w:type="dxa"/>
            <w:shd w:val="clear" w:color="auto" w:fill="92D050"/>
          </w:tcPr>
          <w:p w14:paraId="3CFF4DAC" w14:textId="5CCCD4CF" w:rsidR="0069083A" w:rsidRPr="004726FB" w:rsidRDefault="00CF412E" w:rsidP="0069083A">
            <w:pPr>
              <w:pStyle w:val="BodyText"/>
              <w:ind w:right="670"/>
              <w:rPr>
                <w:rFonts w:ascii="Calibri" w:hAnsi="Calibri" w:cs="Calibri"/>
                <w:sz w:val="18"/>
                <w:szCs w:val="18"/>
              </w:rPr>
            </w:pPr>
            <w:r w:rsidRPr="004726FB">
              <w:rPr>
                <w:rFonts w:ascii="Calibri" w:hAnsi="Calibri" w:cs="Calibri"/>
                <w:sz w:val="18"/>
                <w:szCs w:val="18"/>
              </w:rPr>
              <w:t>Low</w:t>
            </w:r>
          </w:p>
        </w:tc>
      </w:tr>
      <w:tr w:rsidR="00CF412E" w:rsidRPr="004726FB" w14:paraId="35489FEE" w14:textId="2953A670" w:rsidTr="006860E5">
        <w:tc>
          <w:tcPr>
            <w:tcW w:w="2539" w:type="dxa"/>
          </w:tcPr>
          <w:p w14:paraId="76E4DDE4" w14:textId="62A95A17" w:rsidR="00CF412E" w:rsidRPr="004726FB" w:rsidRDefault="00CF412E" w:rsidP="00CF412E">
            <w:pPr>
              <w:pStyle w:val="BodyText"/>
              <w:ind w:right="670"/>
              <w:rPr>
                <w:rFonts w:ascii="Calibri" w:hAnsi="Calibri" w:cs="Calibri"/>
                <w:sz w:val="18"/>
                <w:szCs w:val="18"/>
              </w:rPr>
            </w:pPr>
            <w:r w:rsidRPr="004726FB">
              <w:rPr>
                <w:rFonts w:ascii="Calibri" w:hAnsi="Calibri" w:cs="Calibri"/>
                <w:sz w:val="18"/>
                <w:szCs w:val="18"/>
              </w:rPr>
              <w:t>Data is leaked by clinician/user/call handler</w:t>
            </w:r>
          </w:p>
        </w:tc>
        <w:tc>
          <w:tcPr>
            <w:tcW w:w="2985" w:type="dxa"/>
          </w:tcPr>
          <w:p w14:paraId="5A3CF9A2" w14:textId="77777777" w:rsidR="00CF412E" w:rsidRPr="004726FB" w:rsidRDefault="00CF412E" w:rsidP="00CF412E">
            <w:pPr>
              <w:pStyle w:val="BodyText"/>
              <w:ind w:right="670"/>
              <w:rPr>
                <w:rFonts w:ascii="Calibri" w:hAnsi="Calibri" w:cs="Calibri"/>
                <w:sz w:val="18"/>
                <w:szCs w:val="18"/>
              </w:rPr>
            </w:pPr>
            <w:r w:rsidRPr="004726FB">
              <w:rPr>
                <w:rFonts w:ascii="Calibri" w:hAnsi="Calibri" w:cs="Calibri"/>
                <w:sz w:val="18"/>
                <w:szCs w:val="18"/>
              </w:rPr>
              <w:t xml:space="preserve">Individual log </w:t>
            </w:r>
            <w:proofErr w:type="spellStart"/>
            <w:r w:rsidRPr="004726FB">
              <w:rPr>
                <w:rFonts w:ascii="Calibri" w:hAnsi="Calibri" w:cs="Calibri"/>
                <w:sz w:val="18"/>
                <w:szCs w:val="18"/>
              </w:rPr>
              <w:t>ons</w:t>
            </w:r>
            <w:proofErr w:type="spellEnd"/>
            <w:r w:rsidRPr="004726FB">
              <w:rPr>
                <w:rFonts w:ascii="Calibri" w:hAnsi="Calibri" w:cs="Calibri"/>
                <w:sz w:val="18"/>
                <w:szCs w:val="18"/>
              </w:rPr>
              <w:t xml:space="preserve"> to segment clinician access. </w:t>
            </w:r>
          </w:p>
          <w:p w14:paraId="2C8B4440" w14:textId="322CB771" w:rsidR="00CF412E" w:rsidRPr="004726FB" w:rsidRDefault="00CF412E" w:rsidP="00CF412E">
            <w:pPr>
              <w:pStyle w:val="BodyText"/>
              <w:ind w:right="670"/>
              <w:rPr>
                <w:rFonts w:ascii="Calibri" w:hAnsi="Calibri" w:cs="Calibri"/>
                <w:sz w:val="18"/>
                <w:szCs w:val="18"/>
              </w:rPr>
            </w:pPr>
            <w:r w:rsidRPr="004726FB">
              <w:rPr>
                <w:rFonts w:ascii="Calibri" w:hAnsi="Calibri" w:cs="Calibri"/>
                <w:sz w:val="18"/>
                <w:szCs w:val="18"/>
              </w:rPr>
              <w:t>Audit of videos viewed (and identity of viewer) available.</w:t>
            </w:r>
          </w:p>
        </w:tc>
        <w:tc>
          <w:tcPr>
            <w:tcW w:w="1417" w:type="dxa"/>
            <w:shd w:val="clear" w:color="auto" w:fill="FFC000" w:themeFill="accent4"/>
          </w:tcPr>
          <w:p w14:paraId="7DFF43F4" w14:textId="060782A6" w:rsidR="00CF412E" w:rsidRPr="004726FB" w:rsidRDefault="00CF412E" w:rsidP="00CF412E">
            <w:pPr>
              <w:pStyle w:val="BodyText"/>
              <w:ind w:right="670"/>
              <w:rPr>
                <w:rFonts w:ascii="Calibri" w:hAnsi="Calibri" w:cs="Calibri"/>
                <w:sz w:val="18"/>
                <w:szCs w:val="18"/>
              </w:rPr>
            </w:pPr>
            <w:r w:rsidRPr="004726FB">
              <w:rPr>
                <w:rFonts w:ascii="Calibri" w:hAnsi="Calibri" w:cs="Calibri"/>
                <w:sz w:val="18"/>
                <w:szCs w:val="18"/>
              </w:rPr>
              <w:t>Possible</w:t>
            </w:r>
          </w:p>
        </w:tc>
        <w:tc>
          <w:tcPr>
            <w:tcW w:w="1418" w:type="dxa"/>
            <w:shd w:val="clear" w:color="auto" w:fill="FF0000"/>
          </w:tcPr>
          <w:p w14:paraId="2FA272AC" w14:textId="692BBD85" w:rsidR="00CF412E" w:rsidRPr="004726FB" w:rsidRDefault="00CF412E" w:rsidP="00CF412E">
            <w:pPr>
              <w:pStyle w:val="BodyText"/>
              <w:ind w:right="670"/>
              <w:rPr>
                <w:rFonts w:ascii="Calibri" w:hAnsi="Calibri" w:cs="Calibri"/>
                <w:sz w:val="18"/>
                <w:szCs w:val="18"/>
              </w:rPr>
            </w:pPr>
            <w:r w:rsidRPr="004726FB">
              <w:rPr>
                <w:rFonts w:ascii="Calibri" w:hAnsi="Calibri" w:cs="Calibri"/>
                <w:sz w:val="18"/>
                <w:szCs w:val="18"/>
              </w:rPr>
              <w:t>Severe</w:t>
            </w:r>
          </w:p>
        </w:tc>
        <w:tc>
          <w:tcPr>
            <w:tcW w:w="1275" w:type="dxa"/>
            <w:shd w:val="clear" w:color="auto" w:fill="92D050"/>
          </w:tcPr>
          <w:p w14:paraId="0924E032" w14:textId="4E127F64" w:rsidR="00CF412E" w:rsidRPr="004726FB" w:rsidRDefault="00CF412E" w:rsidP="00CF412E">
            <w:pPr>
              <w:pStyle w:val="BodyText"/>
              <w:ind w:right="670"/>
              <w:rPr>
                <w:rFonts w:ascii="Calibri" w:hAnsi="Calibri" w:cs="Calibri"/>
                <w:sz w:val="18"/>
                <w:szCs w:val="18"/>
              </w:rPr>
            </w:pPr>
            <w:r w:rsidRPr="004726FB">
              <w:rPr>
                <w:rFonts w:ascii="Calibri" w:hAnsi="Calibri" w:cs="Calibri"/>
                <w:sz w:val="18"/>
                <w:szCs w:val="18"/>
              </w:rPr>
              <w:t>Low</w:t>
            </w:r>
          </w:p>
        </w:tc>
      </w:tr>
      <w:tr w:rsidR="00CF412E" w:rsidRPr="004726FB" w14:paraId="64927909" w14:textId="77777777" w:rsidTr="006860E5">
        <w:tc>
          <w:tcPr>
            <w:tcW w:w="2539" w:type="dxa"/>
          </w:tcPr>
          <w:p w14:paraId="1DFED972" w14:textId="77777777" w:rsidR="00CF412E" w:rsidRPr="004726FB" w:rsidRDefault="00CF412E" w:rsidP="004F04AA">
            <w:pPr>
              <w:pStyle w:val="BodyText"/>
              <w:ind w:right="670"/>
              <w:rPr>
                <w:rFonts w:ascii="Calibri" w:hAnsi="Calibri" w:cs="Calibri"/>
                <w:sz w:val="18"/>
                <w:szCs w:val="18"/>
              </w:rPr>
            </w:pPr>
            <w:r w:rsidRPr="004726FB">
              <w:rPr>
                <w:rFonts w:ascii="Calibri" w:hAnsi="Calibri" w:cs="Calibri"/>
                <w:sz w:val="18"/>
                <w:szCs w:val="18"/>
              </w:rPr>
              <w:t>Patient does not consent from use</w:t>
            </w:r>
          </w:p>
        </w:tc>
        <w:tc>
          <w:tcPr>
            <w:tcW w:w="2985" w:type="dxa"/>
          </w:tcPr>
          <w:p w14:paraId="54E8AA54" w14:textId="32597A41" w:rsidR="00CF412E" w:rsidRPr="004726FB" w:rsidRDefault="00CF412E" w:rsidP="004F04AA">
            <w:pPr>
              <w:pStyle w:val="BodyText"/>
              <w:ind w:right="670"/>
              <w:rPr>
                <w:rFonts w:ascii="Calibri" w:hAnsi="Calibri" w:cs="Calibri"/>
                <w:sz w:val="18"/>
                <w:szCs w:val="18"/>
              </w:rPr>
            </w:pPr>
            <w:r w:rsidRPr="004726FB">
              <w:rPr>
                <w:rFonts w:ascii="Calibri" w:hAnsi="Calibri" w:cs="Calibri"/>
                <w:sz w:val="18"/>
                <w:szCs w:val="18"/>
              </w:rPr>
              <w:t>In order to enable video stream</w:t>
            </w:r>
            <w:r w:rsidR="004726FB" w:rsidRPr="004726FB">
              <w:rPr>
                <w:rFonts w:ascii="Calibri" w:hAnsi="Calibri" w:cs="Calibri"/>
                <w:sz w:val="18"/>
                <w:szCs w:val="18"/>
              </w:rPr>
              <w:t xml:space="preserve">, </w:t>
            </w:r>
            <w:proofErr w:type="spellStart"/>
            <w:r w:rsidR="004726FB" w:rsidRPr="004726FB">
              <w:rPr>
                <w:rFonts w:ascii="Calibri" w:hAnsi="Calibri" w:cs="Calibri"/>
                <w:sz w:val="18"/>
                <w:szCs w:val="18"/>
              </w:rPr>
              <w:t>patients</w:t>
            </w:r>
            <w:proofErr w:type="spellEnd"/>
            <w:r w:rsidR="004726FB" w:rsidRPr="004726FB">
              <w:rPr>
                <w:rFonts w:ascii="Calibri" w:hAnsi="Calibri" w:cs="Calibri"/>
                <w:sz w:val="18"/>
                <w:szCs w:val="18"/>
              </w:rPr>
              <w:t xml:space="preserve"> </w:t>
            </w:r>
            <w:proofErr w:type="gramStart"/>
            <w:r w:rsidR="004726FB" w:rsidRPr="004726FB">
              <w:rPr>
                <w:rFonts w:ascii="Calibri" w:hAnsi="Calibri" w:cs="Calibri"/>
                <w:sz w:val="18"/>
                <w:szCs w:val="18"/>
              </w:rPr>
              <w:t>needs</w:t>
            </w:r>
            <w:proofErr w:type="gramEnd"/>
            <w:r w:rsidR="004726FB" w:rsidRPr="004726FB">
              <w:rPr>
                <w:rFonts w:ascii="Calibri" w:hAnsi="Calibri" w:cs="Calibri"/>
                <w:sz w:val="18"/>
                <w:szCs w:val="18"/>
              </w:rPr>
              <w:t xml:space="preserve"> confirm consent</w:t>
            </w:r>
          </w:p>
        </w:tc>
        <w:tc>
          <w:tcPr>
            <w:tcW w:w="1417" w:type="dxa"/>
            <w:shd w:val="clear" w:color="auto" w:fill="92D050"/>
          </w:tcPr>
          <w:p w14:paraId="7CDB3007" w14:textId="0E23EC17" w:rsidR="00CF412E" w:rsidRPr="004726FB" w:rsidRDefault="004726FB" w:rsidP="004F04AA">
            <w:pPr>
              <w:pStyle w:val="BodyText"/>
              <w:ind w:right="670"/>
              <w:rPr>
                <w:rFonts w:ascii="Calibri" w:hAnsi="Calibri" w:cs="Calibri"/>
                <w:sz w:val="18"/>
                <w:szCs w:val="18"/>
              </w:rPr>
            </w:pPr>
            <w:r w:rsidRPr="004726FB">
              <w:rPr>
                <w:rFonts w:ascii="Calibri" w:hAnsi="Calibri" w:cs="Calibri"/>
                <w:sz w:val="18"/>
                <w:szCs w:val="18"/>
              </w:rPr>
              <w:t>Low</w:t>
            </w:r>
          </w:p>
        </w:tc>
        <w:tc>
          <w:tcPr>
            <w:tcW w:w="1418" w:type="dxa"/>
            <w:shd w:val="clear" w:color="auto" w:fill="FF0000"/>
          </w:tcPr>
          <w:p w14:paraId="7FCE82BC" w14:textId="503AA42E" w:rsidR="00CF412E" w:rsidRPr="004726FB" w:rsidRDefault="004726FB" w:rsidP="004F04AA">
            <w:pPr>
              <w:pStyle w:val="BodyText"/>
              <w:ind w:right="670"/>
              <w:rPr>
                <w:rFonts w:ascii="Calibri" w:hAnsi="Calibri" w:cs="Calibri"/>
                <w:sz w:val="18"/>
                <w:szCs w:val="18"/>
              </w:rPr>
            </w:pPr>
            <w:r w:rsidRPr="004726FB">
              <w:rPr>
                <w:rFonts w:ascii="Calibri" w:hAnsi="Calibri" w:cs="Calibri"/>
                <w:sz w:val="18"/>
                <w:szCs w:val="18"/>
              </w:rPr>
              <w:t xml:space="preserve">Severe </w:t>
            </w:r>
          </w:p>
        </w:tc>
        <w:tc>
          <w:tcPr>
            <w:tcW w:w="1275" w:type="dxa"/>
            <w:shd w:val="clear" w:color="auto" w:fill="92D050"/>
          </w:tcPr>
          <w:p w14:paraId="307A72CA" w14:textId="797B1A07" w:rsidR="00CF412E" w:rsidRPr="004726FB" w:rsidRDefault="004726FB" w:rsidP="004F04AA">
            <w:pPr>
              <w:pStyle w:val="BodyText"/>
              <w:ind w:right="670"/>
              <w:rPr>
                <w:rFonts w:ascii="Calibri" w:hAnsi="Calibri" w:cs="Calibri"/>
                <w:sz w:val="18"/>
                <w:szCs w:val="18"/>
              </w:rPr>
            </w:pPr>
            <w:r w:rsidRPr="004726FB">
              <w:rPr>
                <w:rFonts w:ascii="Calibri" w:hAnsi="Calibri" w:cs="Calibri"/>
                <w:sz w:val="18"/>
                <w:szCs w:val="18"/>
              </w:rPr>
              <w:t xml:space="preserve">Low </w:t>
            </w:r>
          </w:p>
        </w:tc>
      </w:tr>
      <w:tr w:rsidR="00CF412E" w:rsidRPr="004726FB" w14:paraId="4F5B8DB5" w14:textId="66B998E8" w:rsidTr="006860E5">
        <w:tc>
          <w:tcPr>
            <w:tcW w:w="2539" w:type="dxa"/>
          </w:tcPr>
          <w:p w14:paraId="3E2C31B9" w14:textId="1F2BA2E6" w:rsidR="00CF412E" w:rsidRPr="004726FB" w:rsidRDefault="00CF412E" w:rsidP="00CF412E">
            <w:pPr>
              <w:pStyle w:val="BodyText"/>
              <w:ind w:right="670"/>
              <w:rPr>
                <w:rFonts w:ascii="Calibri" w:hAnsi="Calibri" w:cs="Calibri"/>
                <w:sz w:val="18"/>
                <w:szCs w:val="18"/>
              </w:rPr>
            </w:pPr>
            <w:r w:rsidRPr="004726FB">
              <w:rPr>
                <w:rFonts w:ascii="Calibri" w:hAnsi="Calibri" w:cs="Calibri"/>
                <w:sz w:val="18"/>
                <w:szCs w:val="18"/>
              </w:rPr>
              <w:t xml:space="preserve">Inadvertent collection of data </w:t>
            </w:r>
          </w:p>
        </w:tc>
        <w:tc>
          <w:tcPr>
            <w:tcW w:w="2985" w:type="dxa"/>
          </w:tcPr>
          <w:p w14:paraId="24535E81" w14:textId="77777777" w:rsidR="00CF412E" w:rsidRDefault="00CF412E" w:rsidP="00CF412E">
            <w:pPr>
              <w:pStyle w:val="BodyText"/>
              <w:ind w:right="670"/>
              <w:rPr>
                <w:rFonts w:ascii="Calibri" w:hAnsi="Calibri" w:cs="Calibri"/>
                <w:sz w:val="18"/>
                <w:szCs w:val="18"/>
              </w:rPr>
            </w:pPr>
            <w:r w:rsidRPr="004726FB">
              <w:rPr>
                <w:rFonts w:ascii="Calibri" w:hAnsi="Calibri" w:cs="Calibri"/>
                <w:sz w:val="18"/>
                <w:szCs w:val="18"/>
              </w:rPr>
              <w:t xml:space="preserve">Data stream terminated both ways – by clinician </w:t>
            </w:r>
            <w:r w:rsidR="004726FB" w:rsidRPr="004726FB">
              <w:rPr>
                <w:rFonts w:ascii="Calibri" w:hAnsi="Calibri" w:cs="Calibri"/>
                <w:sz w:val="18"/>
                <w:szCs w:val="18"/>
              </w:rPr>
              <w:t xml:space="preserve">(ending call) or caller (closing hyperlink). Once stream terminated, it cannot be re-established. </w:t>
            </w:r>
          </w:p>
          <w:p w14:paraId="6F3F9DCE" w14:textId="77777777" w:rsidR="00F16FE1" w:rsidRDefault="00F16FE1" w:rsidP="00CF412E">
            <w:pPr>
              <w:pStyle w:val="BodyText"/>
              <w:ind w:right="670"/>
              <w:rPr>
                <w:rFonts w:ascii="Calibri" w:hAnsi="Calibri" w:cs="Calibri"/>
                <w:sz w:val="18"/>
                <w:szCs w:val="18"/>
              </w:rPr>
            </w:pPr>
          </w:p>
          <w:p w14:paraId="4A92D72B" w14:textId="2738A039" w:rsidR="00F16FE1" w:rsidRPr="004726FB" w:rsidRDefault="00F16FE1" w:rsidP="00CF412E">
            <w:pPr>
              <w:pStyle w:val="BodyText"/>
              <w:ind w:right="670"/>
              <w:rPr>
                <w:rFonts w:ascii="Calibri" w:hAnsi="Calibri" w:cs="Calibri"/>
                <w:sz w:val="18"/>
                <w:szCs w:val="18"/>
              </w:rPr>
            </w:pPr>
            <w:r>
              <w:rPr>
                <w:rFonts w:ascii="Calibri" w:hAnsi="Calibri" w:cs="Calibri"/>
                <w:sz w:val="18"/>
                <w:szCs w:val="18"/>
              </w:rPr>
              <w:t xml:space="preserve">No data stored on hardware/device. </w:t>
            </w:r>
          </w:p>
        </w:tc>
        <w:tc>
          <w:tcPr>
            <w:tcW w:w="1417" w:type="dxa"/>
            <w:shd w:val="clear" w:color="auto" w:fill="92D050"/>
          </w:tcPr>
          <w:p w14:paraId="339CBBCF" w14:textId="678A6061" w:rsidR="00CF412E" w:rsidRPr="004726FB" w:rsidRDefault="004726FB" w:rsidP="00CF412E">
            <w:pPr>
              <w:pStyle w:val="BodyText"/>
              <w:ind w:right="670"/>
              <w:rPr>
                <w:rFonts w:ascii="Calibri" w:hAnsi="Calibri" w:cs="Calibri"/>
                <w:sz w:val="18"/>
                <w:szCs w:val="18"/>
              </w:rPr>
            </w:pPr>
            <w:r w:rsidRPr="004726FB">
              <w:rPr>
                <w:rFonts w:ascii="Calibri" w:hAnsi="Calibri" w:cs="Calibri"/>
                <w:sz w:val="18"/>
                <w:szCs w:val="18"/>
              </w:rPr>
              <w:t>Low</w:t>
            </w:r>
          </w:p>
        </w:tc>
        <w:tc>
          <w:tcPr>
            <w:tcW w:w="1418" w:type="dxa"/>
            <w:shd w:val="clear" w:color="auto" w:fill="FF0000"/>
          </w:tcPr>
          <w:p w14:paraId="16EA4014" w14:textId="23E46743" w:rsidR="00CF412E" w:rsidRPr="004726FB" w:rsidRDefault="004726FB" w:rsidP="00CF412E">
            <w:pPr>
              <w:pStyle w:val="BodyText"/>
              <w:ind w:right="670"/>
              <w:rPr>
                <w:rFonts w:ascii="Calibri" w:hAnsi="Calibri" w:cs="Calibri"/>
                <w:sz w:val="18"/>
                <w:szCs w:val="18"/>
              </w:rPr>
            </w:pPr>
            <w:r w:rsidRPr="004726FB">
              <w:rPr>
                <w:rFonts w:ascii="Calibri" w:hAnsi="Calibri" w:cs="Calibri"/>
                <w:sz w:val="18"/>
                <w:szCs w:val="18"/>
              </w:rPr>
              <w:t>Severe</w:t>
            </w:r>
          </w:p>
        </w:tc>
        <w:tc>
          <w:tcPr>
            <w:tcW w:w="1275" w:type="dxa"/>
            <w:shd w:val="clear" w:color="auto" w:fill="92D050"/>
          </w:tcPr>
          <w:p w14:paraId="792BE5B4" w14:textId="2B866C6B" w:rsidR="00CF412E" w:rsidRPr="004726FB" w:rsidRDefault="004726FB" w:rsidP="00CF412E">
            <w:pPr>
              <w:pStyle w:val="BodyText"/>
              <w:ind w:right="670"/>
              <w:rPr>
                <w:rFonts w:ascii="Calibri" w:hAnsi="Calibri" w:cs="Calibri"/>
                <w:sz w:val="18"/>
                <w:szCs w:val="18"/>
              </w:rPr>
            </w:pPr>
            <w:r w:rsidRPr="004726FB">
              <w:rPr>
                <w:rFonts w:ascii="Calibri" w:hAnsi="Calibri" w:cs="Calibri"/>
                <w:sz w:val="18"/>
                <w:szCs w:val="18"/>
              </w:rPr>
              <w:t>Low</w:t>
            </w:r>
          </w:p>
        </w:tc>
      </w:tr>
    </w:tbl>
    <w:p w14:paraId="11411C40" w14:textId="77777777" w:rsidR="00CF412E" w:rsidRPr="004726FB" w:rsidRDefault="00CF412E" w:rsidP="007A5ED5">
      <w:pPr>
        <w:pStyle w:val="BodyText"/>
        <w:ind w:right="670"/>
        <w:rPr>
          <w:rFonts w:ascii="Calibri" w:hAnsi="Calibri" w:cs="Calibri"/>
        </w:rPr>
      </w:pPr>
    </w:p>
    <w:p w14:paraId="6D5177A0" w14:textId="4417FA00" w:rsidR="00805B54" w:rsidRDefault="00805B54" w:rsidP="00805B54">
      <w:pPr>
        <w:shd w:val="clear" w:color="auto" w:fill="FFFFFF"/>
        <w:rPr>
          <w:rFonts w:ascii="Calibri" w:hAnsi="Calibri" w:cs="Calibri"/>
          <w:b/>
          <w:bCs/>
          <w:color w:val="000000" w:themeColor="text1"/>
        </w:rPr>
      </w:pPr>
      <w:r w:rsidRPr="004726FB">
        <w:rPr>
          <w:rFonts w:ascii="Calibri" w:hAnsi="Calibri" w:cs="Calibri"/>
          <w:b/>
          <w:bCs/>
          <w:color w:val="000000" w:themeColor="text1"/>
        </w:rPr>
        <w:t>1</w:t>
      </w:r>
      <w:r w:rsidR="00F16FE1">
        <w:rPr>
          <w:rFonts w:ascii="Calibri" w:hAnsi="Calibri" w:cs="Calibri"/>
          <w:b/>
          <w:bCs/>
          <w:color w:val="000000" w:themeColor="text1"/>
        </w:rPr>
        <w:t>1</w:t>
      </w:r>
      <w:r w:rsidRPr="004726FB">
        <w:rPr>
          <w:rFonts w:ascii="Calibri" w:hAnsi="Calibri" w:cs="Calibri"/>
          <w:b/>
          <w:bCs/>
          <w:color w:val="000000" w:themeColor="text1"/>
        </w:rPr>
        <w:t>. ICO Regist</w:t>
      </w:r>
      <w:r w:rsidR="004726FB" w:rsidRPr="004726FB">
        <w:rPr>
          <w:rFonts w:ascii="Calibri" w:hAnsi="Calibri" w:cs="Calibri"/>
          <w:b/>
          <w:bCs/>
          <w:color w:val="000000" w:themeColor="text1"/>
        </w:rPr>
        <w:t xml:space="preserve">ration </w:t>
      </w:r>
      <w:r w:rsidR="00F16FE1">
        <w:rPr>
          <w:rFonts w:ascii="Calibri" w:hAnsi="Calibri" w:cs="Calibri"/>
          <w:b/>
          <w:bCs/>
          <w:color w:val="000000" w:themeColor="text1"/>
        </w:rPr>
        <w:t xml:space="preserve">Information </w:t>
      </w:r>
    </w:p>
    <w:p w14:paraId="4CE60E1A" w14:textId="77777777" w:rsidR="00F16FE1" w:rsidRPr="004726FB" w:rsidRDefault="00F16FE1" w:rsidP="00805B54">
      <w:pPr>
        <w:shd w:val="clear" w:color="auto" w:fill="FFFFFF"/>
        <w:rPr>
          <w:rFonts w:ascii="Calibri" w:hAnsi="Calibri" w:cs="Calibri"/>
          <w:b/>
          <w:bCs/>
          <w:color w:val="000000" w:themeColor="text1"/>
        </w:rPr>
      </w:pPr>
    </w:p>
    <w:p w14:paraId="495FBB15" w14:textId="3ED557A0" w:rsidR="00805B54" w:rsidRPr="00805B54" w:rsidRDefault="00805B54" w:rsidP="00805B54">
      <w:pPr>
        <w:shd w:val="clear" w:color="auto" w:fill="FFFFFF"/>
        <w:rPr>
          <w:rFonts w:ascii="Calibri" w:hAnsi="Calibri" w:cs="Calibri"/>
          <w:color w:val="000000" w:themeColor="text1"/>
        </w:rPr>
      </w:pPr>
      <w:r w:rsidRPr="004726FB">
        <w:rPr>
          <w:rFonts w:ascii="Calibri" w:hAnsi="Calibri" w:cs="Calibri"/>
          <w:color w:val="000000" w:themeColor="text1"/>
        </w:rPr>
        <w:t>Registration number</w:t>
      </w:r>
      <w:r w:rsidR="004726FB" w:rsidRPr="004726FB">
        <w:rPr>
          <w:rFonts w:ascii="Calibri" w:hAnsi="Calibri" w:cs="Calibri"/>
          <w:color w:val="000000" w:themeColor="text1"/>
        </w:rPr>
        <w:t xml:space="preserve"> of Clinic.co Ltd</w:t>
      </w:r>
      <w:r w:rsidRPr="004726FB">
        <w:rPr>
          <w:rFonts w:ascii="Calibri" w:hAnsi="Calibri" w:cs="Calibri"/>
          <w:color w:val="000000" w:themeColor="text1"/>
        </w:rPr>
        <w:t xml:space="preserve">: </w:t>
      </w:r>
      <w:r w:rsidRPr="00805B54">
        <w:rPr>
          <w:rFonts w:ascii="Calibri" w:hAnsi="Calibri" w:cs="Calibri"/>
          <w:color w:val="000000" w:themeColor="text1"/>
        </w:rPr>
        <w:t>ZA201864</w:t>
      </w:r>
    </w:p>
    <w:p w14:paraId="3B5E16B8" w14:textId="7454627C" w:rsidR="007A5ED5" w:rsidRDefault="00805B54" w:rsidP="00F16FE1">
      <w:pPr>
        <w:shd w:val="clear" w:color="auto" w:fill="FFFFFF"/>
        <w:rPr>
          <w:rFonts w:ascii="Calibri" w:hAnsi="Calibri" w:cs="Calibri"/>
          <w:color w:val="000000" w:themeColor="text1"/>
        </w:rPr>
      </w:pPr>
      <w:r w:rsidRPr="00805B54">
        <w:rPr>
          <w:rFonts w:ascii="Calibri" w:hAnsi="Calibri" w:cs="Calibri"/>
          <w:color w:val="000000" w:themeColor="text1"/>
        </w:rPr>
        <w:t xml:space="preserve">Date </w:t>
      </w:r>
      <w:r w:rsidRPr="004726FB">
        <w:rPr>
          <w:rFonts w:ascii="Calibri" w:hAnsi="Calibri" w:cs="Calibri"/>
          <w:color w:val="000000" w:themeColor="text1"/>
        </w:rPr>
        <w:t>of first registration</w:t>
      </w:r>
      <w:r w:rsidRPr="00805B54">
        <w:rPr>
          <w:rFonts w:ascii="Calibri" w:hAnsi="Calibri" w:cs="Calibri"/>
          <w:color w:val="000000" w:themeColor="text1"/>
        </w:rPr>
        <w:t>:</w:t>
      </w:r>
      <w:r w:rsidR="00623181">
        <w:rPr>
          <w:rFonts w:ascii="Calibri" w:hAnsi="Calibri" w:cs="Calibri"/>
          <w:color w:val="000000" w:themeColor="text1"/>
        </w:rPr>
        <w:t xml:space="preserve"> </w:t>
      </w:r>
      <w:r w:rsidRPr="00805B54">
        <w:rPr>
          <w:rFonts w:ascii="Calibri" w:hAnsi="Calibri" w:cs="Calibri"/>
          <w:color w:val="000000" w:themeColor="text1"/>
        </w:rPr>
        <w:t>25 August 2016</w:t>
      </w:r>
    </w:p>
    <w:p w14:paraId="6453134D" w14:textId="3A49A362" w:rsidR="006860E5" w:rsidRDefault="006860E5" w:rsidP="00F16FE1">
      <w:pPr>
        <w:shd w:val="clear" w:color="auto" w:fill="FFFFFF"/>
        <w:rPr>
          <w:rFonts w:ascii="Calibri" w:hAnsi="Calibri" w:cs="Calibri"/>
          <w:color w:val="000000" w:themeColor="text1"/>
        </w:rPr>
      </w:pPr>
      <w:r>
        <w:rPr>
          <w:rFonts w:ascii="Calibri" w:hAnsi="Calibri" w:cs="Calibri"/>
          <w:color w:val="000000" w:themeColor="text1"/>
        </w:rPr>
        <w:t xml:space="preserve">For any questions relating to information governance, please contact Clinic.co: </w:t>
      </w:r>
      <w:hyperlink r:id="rId6" w:history="1">
        <w:r w:rsidRPr="001912C9">
          <w:rPr>
            <w:rStyle w:val="Hyperlink"/>
            <w:rFonts w:ascii="Calibri" w:hAnsi="Calibri" w:cs="Calibri"/>
          </w:rPr>
          <w:t>info@clinic.co</w:t>
        </w:r>
      </w:hyperlink>
      <w:r>
        <w:rPr>
          <w:rFonts w:ascii="Calibri" w:hAnsi="Calibri" w:cs="Calibri"/>
          <w:color w:val="000000" w:themeColor="text1"/>
        </w:rPr>
        <w:t xml:space="preserve"> and we would be happy to assist you. </w:t>
      </w:r>
    </w:p>
    <w:p w14:paraId="05E0BAE3" w14:textId="5CB16826" w:rsidR="00F16FE1" w:rsidRPr="00B934B4" w:rsidRDefault="00F16FE1" w:rsidP="00F16FE1">
      <w:pPr>
        <w:shd w:val="clear" w:color="auto" w:fill="FFFFFF"/>
        <w:rPr>
          <w:rFonts w:cstheme="minorHAnsi"/>
          <w:bCs/>
        </w:rPr>
      </w:pPr>
    </w:p>
    <w:sectPr w:rsidR="00F16FE1" w:rsidRPr="00B934B4" w:rsidSect="00CC53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1D54"/>
    <w:multiLevelType w:val="hybridMultilevel"/>
    <w:tmpl w:val="8458C486"/>
    <w:lvl w:ilvl="0" w:tplc="5F70DD6C">
      <w:start w:val="11"/>
      <w:numFmt w:val="bullet"/>
      <w:lvlText w:val=""/>
      <w:lvlJc w:val="left"/>
      <w:pPr>
        <w:ind w:left="715" w:hanging="570"/>
      </w:pPr>
      <w:rPr>
        <w:rFonts w:ascii="Symbol" w:eastAsia="Arial" w:hAnsi="Symbol" w:cs="Arial" w:hint="default"/>
      </w:rPr>
    </w:lvl>
    <w:lvl w:ilvl="1" w:tplc="08090003" w:tentative="1">
      <w:start w:val="1"/>
      <w:numFmt w:val="bullet"/>
      <w:lvlText w:val="o"/>
      <w:lvlJc w:val="left"/>
      <w:pPr>
        <w:ind w:left="1225" w:hanging="360"/>
      </w:pPr>
      <w:rPr>
        <w:rFonts w:ascii="Courier New" w:hAnsi="Courier New" w:cs="Courier New" w:hint="default"/>
      </w:rPr>
    </w:lvl>
    <w:lvl w:ilvl="2" w:tplc="08090005" w:tentative="1">
      <w:start w:val="1"/>
      <w:numFmt w:val="bullet"/>
      <w:lvlText w:val=""/>
      <w:lvlJc w:val="left"/>
      <w:pPr>
        <w:ind w:left="1945" w:hanging="360"/>
      </w:pPr>
      <w:rPr>
        <w:rFonts w:ascii="Wingdings" w:hAnsi="Wingdings" w:hint="default"/>
      </w:rPr>
    </w:lvl>
    <w:lvl w:ilvl="3" w:tplc="08090001" w:tentative="1">
      <w:start w:val="1"/>
      <w:numFmt w:val="bullet"/>
      <w:lvlText w:val=""/>
      <w:lvlJc w:val="left"/>
      <w:pPr>
        <w:ind w:left="2665" w:hanging="360"/>
      </w:pPr>
      <w:rPr>
        <w:rFonts w:ascii="Symbol" w:hAnsi="Symbol" w:hint="default"/>
      </w:rPr>
    </w:lvl>
    <w:lvl w:ilvl="4" w:tplc="08090003" w:tentative="1">
      <w:start w:val="1"/>
      <w:numFmt w:val="bullet"/>
      <w:lvlText w:val="o"/>
      <w:lvlJc w:val="left"/>
      <w:pPr>
        <w:ind w:left="3385" w:hanging="360"/>
      </w:pPr>
      <w:rPr>
        <w:rFonts w:ascii="Courier New" w:hAnsi="Courier New" w:cs="Courier New" w:hint="default"/>
      </w:rPr>
    </w:lvl>
    <w:lvl w:ilvl="5" w:tplc="08090005" w:tentative="1">
      <w:start w:val="1"/>
      <w:numFmt w:val="bullet"/>
      <w:lvlText w:val=""/>
      <w:lvlJc w:val="left"/>
      <w:pPr>
        <w:ind w:left="4105" w:hanging="360"/>
      </w:pPr>
      <w:rPr>
        <w:rFonts w:ascii="Wingdings" w:hAnsi="Wingdings" w:hint="default"/>
      </w:rPr>
    </w:lvl>
    <w:lvl w:ilvl="6" w:tplc="08090001" w:tentative="1">
      <w:start w:val="1"/>
      <w:numFmt w:val="bullet"/>
      <w:lvlText w:val=""/>
      <w:lvlJc w:val="left"/>
      <w:pPr>
        <w:ind w:left="4825" w:hanging="360"/>
      </w:pPr>
      <w:rPr>
        <w:rFonts w:ascii="Symbol" w:hAnsi="Symbol" w:hint="default"/>
      </w:rPr>
    </w:lvl>
    <w:lvl w:ilvl="7" w:tplc="08090003" w:tentative="1">
      <w:start w:val="1"/>
      <w:numFmt w:val="bullet"/>
      <w:lvlText w:val="o"/>
      <w:lvlJc w:val="left"/>
      <w:pPr>
        <w:ind w:left="5545" w:hanging="360"/>
      </w:pPr>
      <w:rPr>
        <w:rFonts w:ascii="Courier New" w:hAnsi="Courier New" w:cs="Courier New" w:hint="default"/>
      </w:rPr>
    </w:lvl>
    <w:lvl w:ilvl="8" w:tplc="08090005" w:tentative="1">
      <w:start w:val="1"/>
      <w:numFmt w:val="bullet"/>
      <w:lvlText w:val=""/>
      <w:lvlJc w:val="left"/>
      <w:pPr>
        <w:ind w:left="6265" w:hanging="360"/>
      </w:pPr>
      <w:rPr>
        <w:rFonts w:ascii="Wingdings" w:hAnsi="Wingdings" w:hint="default"/>
      </w:rPr>
    </w:lvl>
  </w:abstractNum>
  <w:abstractNum w:abstractNumId="1" w15:restartNumberingAfterBreak="0">
    <w:nsid w:val="0CCB7FDB"/>
    <w:multiLevelType w:val="hybridMultilevel"/>
    <w:tmpl w:val="988A5ED0"/>
    <w:lvl w:ilvl="0" w:tplc="022835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15D7F"/>
    <w:multiLevelType w:val="hybridMultilevel"/>
    <w:tmpl w:val="1ED4282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D0A9D"/>
    <w:multiLevelType w:val="hybridMultilevel"/>
    <w:tmpl w:val="90C68AE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C4FE0"/>
    <w:multiLevelType w:val="hybridMultilevel"/>
    <w:tmpl w:val="8722CC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2554B1"/>
    <w:multiLevelType w:val="hybridMultilevel"/>
    <w:tmpl w:val="A240E4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D3097"/>
    <w:multiLevelType w:val="hybridMultilevel"/>
    <w:tmpl w:val="CA3AB34E"/>
    <w:lvl w:ilvl="0" w:tplc="7FCC5A2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D67D46"/>
    <w:multiLevelType w:val="hybridMultilevel"/>
    <w:tmpl w:val="E27088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5D3273"/>
    <w:multiLevelType w:val="hybridMultilevel"/>
    <w:tmpl w:val="3C3C38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A04D58"/>
    <w:multiLevelType w:val="hybridMultilevel"/>
    <w:tmpl w:val="E41A662C"/>
    <w:lvl w:ilvl="0" w:tplc="42AC558A">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566A43"/>
    <w:multiLevelType w:val="hybridMultilevel"/>
    <w:tmpl w:val="279851A4"/>
    <w:lvl w:ilvl="0" w:tplc="B17A1078">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E16B69"/>
    <w:multiLevelType w:val="multilevel"/>
    <w:tmpl w:val="E802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FF29D2"/>
    <w:multiLevelType w:val="hybridMultilevel"/>
    <w:tmpl w:val="5F22EFC6"/>
    <w:lvl w:ilvl="0" w:tplc="64A4402C">
      <w:start w:val="3"/>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B76702"/>
    <w:multiLevelType w:val="hybridMultilevel"/>
    <w:tmpl w:val="DAFCA49E"/>
    <w:lvl w:ilvl="0" w:tplc="BFB638A8">
      <w:start w:val="1"/>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7D70DA"/>
    <w:multiLevelType w:val="hybridMultilevel"/>
    <w:tmpl w:val="636C9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7"/>
  </w:num>
  <w:num w:numId="5">
    <w:abstractNumId w:val="13"/>
  </w:num>
  <w:num w:numId="6">
    <w:abstractNumId w:val="14"/>
  </w:num>
  <w:num w:numId="7">
    <w:abstractNumId w:val="12"/>
  </w:num>
  <w:num w:numId="8">
    <w:abstractNumId w:val="9"/>
  </w:num>
  <w:num w:numId="9">
    <w:abstractNumId w:val="4"/>
  </w:num>
  <w:num w:numId="10">
    <w:abstractNumId w:val="6"/>
  </w:num>
  <w:num w:numId="11">
    <w:abstractNumId w:val="11"/>
  </w:num>
  <w:num w:numId="12">
    <w:abstractNumId w:val="8"/>
  </w:num>
  <w:num w:numId="13">
    <w:abstractNumId w:val="3"/>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0A1"/>
    <w:rsid w:val="000B1458"/>
    <w:rsid w:val="00213E4D"/>
    <w:rsid w:val="00222376"/>
    <w:rsid w:val="00415EFD"/>
    <w:rsid w:val="004726FB"/>
    <w:rsid w:val="004A140D"/>
    <w:rsid w:val="00502A33"/>
    <w:rsid w:val="00516AF7"/>
    <w:rsid w:val="005C2B6C"/>
    <w:rsid w:val="00623181"/>
    <w:rsid w:val="006860E5"/>
    <w:rsid w:val="0069083A"/>
    <w:rsid w:val="006E7752"/>
    <w:rsid w:val="007A5ED5"/>
    <w:rsid w:val="00805B54"/>
    <w:rsid w:val="009E0F52"/>
    <w:rsid w:val="00B934B4"/>
    <w:rsid w:val="00CC5360"/>
    <w:rsid w:val="00CF412E"/>
    <w:rsid w:val="00D42FC9"/>
    <w:rsid w:val="00F16FE1"/>
    <w:rsid w:val="00F40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11A37D"/>
  <w15:chartTrackingRefBased/>
  <w15:docId w15:val="{9F8FE4D3-3F6A-4644-8BCA-D55D0F4A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18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A5ED5"/>
    <w:pPr>
      <w:widowControl w:val="0"/>
      <w:autoSpaceDE w:val="0"/>
      <w:autoSpaceDN w:val="0"/>
    </w:pPr>
    <w:rPr>
      <w:rFonts w:ascii="Arial" w:eastAsia="Arial" w:hAnsi="Arial" w:cs="Arial"/>
      <w:lang w:bidi="en-GB"/>
    </w:rPr>
  </w:style>
  <w:style w:type="character" w:customStyle="1" w:styleId="BodyTextChar">
    <w:name w:val="Body Text Char"/>
    <w:basedOn w:val="DefaultParagraphFont"/>
    <w:link w:val="BodyText"/>
    <w:uiPriority w:val="1"/>
    <w:rsid w:val="007A5ED5"/>
    <w:rPr>
      <w:rFonts w:ascii="Arial" w:eastAsia="Arial" w:hAnsi="Arial" w:cs="Arial"/>
      <w:lang w:eastAsia="en-GB" w:bidi="en-GB"/>
    </w:rPr>
  </w:style>
  <w:style w:type="paragraph" w:styleId="ListParagraph">
    <w:name w:val="List Paragraph"/>
    <w:basedOn w:val="Normal"/>
    <w:uiPriority w:val="34"/>
    <w:qFormat/>
    <w:rsid w:val="00B934B4"/>
    <w:pPr>
      <w:ind w:left="720"/>
      <w:contextualSpacing/>
    </w:pPr>
    <w:rPr>
      <w:rFonts w:asciiTheme="minorHAnsi" w:eastAsiaTheme="minorHAnsi" w:hAnsiTheme="minorHAnsi" w:cstheme="minorBidi"/>
      <w:lang w:eastAsia="en-US"/>
    </w:rPr>
  </w:style>
  <w:style w:type="table" w:styleId="TableGrid">
    <w:name w:val="Table Grid"/>
    <w:basedOn w:val="TableNormal"/>
    <w:uiPriority w:val="39"/>
    <w:rsid w:val="00805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05B54"/>
    <w:pPr>
      <w:widowControl w:val="0"/>
      <w:autoSpaceDE w:val="0"/>
      <w:autoSpaceDN w:val="0"/>
      <w:ind w:left="107"/>
    </w:pPr>
    <w:rPr>
      <w:rFonts w:ascii="Arial" w:eastAsia="Arial" w:hAnsi="Arial" w:cs="Arial"/>
      <w:sz w:val="22"/>
      <w:szCs w:val="22"/>
      <w:lang w:bidi="en-GB"/>
    </w:rPr>
  </w:style>
  <w:style w:type="paragraph" w:customStyle="1" w:styleId="font7">
    <w:name w:val="font_7"/>
    <w:basedOn w:val="Normal"/>
    <w:rsid w:val="00502A33"/>
    <w:pPr>
      <w:spacing w:before="100" w:beforeAutospacing="1" w:after="100" w:afterAutospacing="1"/>
    </w:pPr>
  </w:style>
  <w:style w:type="character" w:styleId="Hyperlink">
    <w:name w:val="Hyperlink"/>
    <w:basedOn w:val="DefaultParagraphFont"/>
    <w:uiPriority w:val="99"/>
    <w:unhideWhenUsed/>
    <w:rsid w:val="00502A33"/>
    <w:rPr>
      <w:color w:val="0000FF"/>
      <w:u w:val="single"/>
    </w:rPr>
  </w:style>
  <w:style w:type="paragraph" w:styleId="NormalWeb">
    <w:name w:val="Normal (Web)"/>
    <w:basedOn w:val="Normal"/>
    <w:uiPriority w:val="99"/>
    <w:unhideWhenUsed/>
    <w:rsid w:val="00D42FC9"/>
    <w:pPr>
      <w:spacing w:before="100" w:beforeAutospacing="1" w:after="100" w:afterAutospacing="1"/>
    </w:pPr>
  </w:style>
  <w:style w:type="character" w:styleId="UnresolvedMention">
    <w:name w:val="Unresolved Mention"/>
    <w:basedOn w:val="DefaultParagraphFont"/>
    <w:uiPriority w:val="99"/>
    <w:semiHidden/>
    <w:unhideWhenUsed/>
    <w:rsid w:val="00686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5951">
      <w:bodyDiv w:val="1"/>
      <w:marLeft w:val="0"/>
      <w:marRight w:val="0"/>
      <w:marTop w:val="0"/>
      <w:marBottom w:val="0"/>
      <w:divBdr>
        <w:top w:val="none" w:sz="0" w:space="0" w:color="auto"/>
        <w:left w:val="none" w:sz="0" w:space="0" w:color="auto"/>
        <w:bottom w:val="none" w:sz="0" w:space="0" w:color="auto"/>
        <w:right w:val="none" w:sz="0" w:space="0" w:color="auto"/>
      </w:divBdr>
      <w:divsChild>
        <w:div w:id="731853627">
          <w:marLeft w:val="0"/>
          <w:marRight w:val="0"/>
          <w:marTop w:val="0"/>
          <w:marBottom w:val="0"/>
          <w:divBdr>
            <w:top w:val="none" w:sz="0" w:space="0" w:color="auto"/>
            <w:left w:val="none" w:sz="0" w:space="0" w:color="auto"/>
            <w:bottom w:val="none" w:sz="0" w:space="0" w:color="auto"/>
            <w:right w:val="none" w:sz="0" w:space="0" w:color="auto"/>
          </w:divBdr>
          <w:divsChild>
            <w:div w:id="1879049384">
              <w:marLeft w:val="0"/>
              <w:marRight w:val="0"/>
              <w:marTop w:val="0"/>
              <w:marBottom w:val="0"/>
              <w:divBdr>
                <w:top w:val="none" w:sz="0" w:space="0" w:color="auto"/>
                <w:left w:val="none" w:sz="0" w:space="0" w:color="auto"/>
                <w:bottom w:val="none" w:sz="0" w:space="0" w:color="auto"/>
                <w:right w:val="none" w:sz="0" w:space="0" w:color="auto"/>
              </w:divBdr>
              <w:divsChild>
                <w:div w:id="9882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333369">
      <w:bodyDiv w:val="1"/>
      <w:marLeft w:val="0"/>
      <w:marRight w:val="0"/>
      <w:marTop w:val="0"/>
      <w:marBottom w:val="0"/>
      <w:divBdr>
        <w:top w:val="none" w:sz="0" w:space="0" w:color="auto"/>
        <w:left w:val="none" w:sz="0" w:space="0" w:color="auto"/>
        <w:bottom w:val="none" w:sz="0" w:space="0" w:color="auto"/>
        <w:right w:val="none" w:sz="0" w:space="0" w:color="auto"/>
      </w:divBdr>
    </w:div>
    <w:div w:id="326789921">
      <w:bodyDiv w:val="1"/>
      <w:marLeft w:val="0"/>
      <w:marRight w:val="0"/>
      <w:marTop w:val="0"/>
      <w:marBottom w:val="0"/>
      <w:divBdr>
        <w:top w:val="none" w:sz="0" w:space="0" w:color="auto"/>
        <w:left w:val="none" w:sz="0" w:space="0" w:color="auto"/>
        <w:bottom w:val="none" w:sz="0" w:space="0" w:color="auto"/>
        <w:right w:val="none" w:sz="0" w:space="0" w:color="auto"/>
      </w:divBdr>
      <w:divsChild>
        <w:div w:id="996759799">
          <w:marLeft w:val="0"/>
          <w:marRight w:val="0"/>
          <w:marTop w:val="0"/>
          <w:marBottom w:val="0"/>
          <w:divBdr>
            <w:top w:val="none" w:sz="0" w:space="0" w:color="auto"/>
            <w:left w:val="none" w:sz="0" w:space="0" w:color="auto"/>
            <w:bottom w:val="none" w:sz="0" w:space="0" w:color="auto"/>
            <w:right w:val="none" w:sz="0" w:space="0" w:color="auto"/>
          </w:divBdr>
          <w:divsChild>
            <w:div w:id="1366635418">
              <w:marLeft w:val="0"/>
              <w:marRight w:val="0"/>
              <w:marTop w:val="0"/>
              <w:marBottom w:val="0"/>
              <w:divBdr>
                <w:top w:val="none" w:sz="0" w:space="0" w:color="auto"/>
                <w:left w:val="none" w:sz="0" w:space="0" w:color="auto"/>
                <w:bottom w:val="none" w:sz="0" w:space="0" w:color="auto"/>
                <w:right w:val="none" w:sz="0" w:space="0" w:color="auto"/>
              </w:divBdr>
              <w:divsChild>
                <w:div w:id="10522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38392">
      <w:bodyDiv w:val="1"/>
      <w:marLeft w:val="0"/>
      <w:marRight w:val="0"/>
      <w:marTop w:val="0"/>
      <w:marBottom w:val="0"/>
      <w:divBdr>
        <w:top w:val="none" w:sz="0" w:space="0" w:color="auto"/>
        <w:left w:val="none" w:sz="0" w:space="0" w:color="auto"/>
        <w:bottom w:val="none" w:sz="0" w:space="0" w:color="auto"/>
        <w:right w:val="none" w:sz="0" w:space="0" w:color="auto"/>
      </w:divBdr>
    </w:div>
    <w:div w:id="446512474">
      <w:bodyDiv w:val="1"/>
      <w:marLeft w:val="0"/>
      <w:marRight w:val="0"/>
      <w:marTop w:val="0"/>
      <w:marBottom w:val="0"/>
      <w:divBdr>
        <w:top w:val="none" w:sz="0" w:space="0" w:color="auto"/>
        <w:left w:val="none" w:sz="0" w:space="0" w:color="auto"/>
        <w:bottom w:val="none" w:sz="0" w:space="0" w:color="auto"/>
        <w:right w:val="none" w:sz="0" w:space="0" w:color="auto"/>
      </w:divBdr>
    </w:div>
    <w:div w:id="1247616973">
      <w:bodyDiv w:val="1"/>
      <w:marLeft w:val="0"/>
      <w:marRight w:val="0"/>
      <w:marTop w:val="0"/>
      <w:marBottom w:val="0"/>
      <w:divBdr>
        <w:top w:val="none" w:sz="0" w:space="0" w:color="auto"/>
        <w:left w:val="none" w:sz="0" w:space="0" w:color="auto"/>
        <w:bottom w:val="none" w:sz="0" w:space="0" w:color="auto"/>
        <w:right w:val="none" w:sz="0" w:space="0" w:color="auto"/>
      </w:divBdr>
    </w:div>
    <w:div w:id="1297641689">
      <w:bodyDiv w:val="1"/>
      <w:marLeft w:val="0"/>
      <w:marRight w:val="0"/>
      <w:marTop w:val="0"/>
      <w:marBottom w:val="0"/>
      <w:divBdr>
        <w:top w:val="none" w:sz="0" w:space="0" w:color="auto"/>
        <w:left w:val="none" w:sz="0" w:space="0" w:color="auto"/>
        <w:bottom w:val="none" w:sz="0" w:space="0" w:color="auto"/>
        <w:right w:val="none" w:sz="0" w:space="0" w:color="auto"/>
      </w:divBdr>
    </w:div>
    <w:div w:id="1661344091">
      <w:bodyDiv w:val="1"/>
      <w:marLeft w:val="0"/>
      <w:marRight w:val="0"/>
      <w:marTop w:val="0"/>
      <w:marBottom w:val="0"/>
      <w:divBdr>
        <w:top w:val="none" w:sz="0" w:space="0" w:color="auto"/>
        <w:left w:val="none" w:sz="0" w:space="0" w:color="auto"/>
        <w:bottom w:val="none" w:sz="0" w:space="0" w:color="auto"/>
        <w:right w:val="none" w:sz="0" w:space="0" w:color="auto"/>
      </w:divBdr>
    </w:div>
    <w:div w:id="206058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linic.c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Deepti Bal</dc:creator>
  <cp:keywords/>
  <dc:description/>
  <cp:lastModifiedBy>Deepti Bal</cp:lastModifiedBy>
  <cp:revision>5</cp:revision>
  <dcterms:created xsi:type="dcterms:W3CDTF">2020-07-03T16:35:00Z</dcterms:created>
  <dcterms:modified xsi:type="dcterms:W3CDTF">2020-07-03T16:37:00Z</dcterms:modified>
</cp:coreProperties>
</file>